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CC654" w14:textId="269E84F1" w:rsidR="00280F7F" w:rsidRDefault="00280F7F" w:rsidP="00E64711">
      <w:pPr>
        <w:ind w:left="360" w:hanging="360"/>
      </w:pPr>
    </w:p>
    <w:p w14:paraId="35C304C6" w14:textId="77777777" w:rsidR="00520DD1" w:rsidRDefault="00520DD1" w:rsidP="00520DD1">
      <w:pPr>
        <w:spacing w:afterLines="25" w:after="60"/>
        <w:jc w:val="center"/>
        <w:rPr>
          <w:noProof/>
          <w:sz w:val="20"/>
          <w:lang w:eastAsia="en-AU"/>
        </w:rPr>
      </w:pPr>
    </w:p>
    <w:p w14:paraId="159AF56D" w14:textId="77777777" w:rsidR="00520DD1" w:rsidRDefault="00520DD1" w:rsidP="00520DD1">
      <w:pPr>
        <w:spacing w:afterLines="25" w:after="60"/>
        <w:jc w:val="center"/>
        <w:rPr>
          <w:noProof/>
          <w:sz w:val="20"/>
          <w:lang w:eastAsia="en-AU"/>
        </w:rPr>
      </w:pPr>
    </w:p>
    <w:p w14:paraId="74C613BC" w14:textId="77777777" w:rsidR="00520DD1" w:rsidRDefault="00520DD1" w:rsidP="00520DD1">
      <w:pPr>
        <w:spacing w:afterLines="25" w:after="60"/>
        <w:jc w:val="center"/>
        <w:rPr>
          <w:noProof/>
          <w:sz w:val="20"/>
          <w:lang w:eastAsia="en-AU"/>
        </w:rPr>
      </w:pPr>
    </w:p>
    <w:p w14:paraId="6DF01BE4" w14:textId="77777777" w:rsidR="00520DD1" w:rsidRDefault="00520DD1" w:rsidP="00520DD1">
      <w:pPr>
        <w:spacing w:afterLines="25" w:after="60"/>
        <w:jc w:val="center"/>
        <w:rPr>
          <w:noProof/>
          <w:sz w:val="20"/>
          <w:lang w:eastAsia="en-AU"/>
        </w:rPr>
      </w:pPr>
      <w:r>
        <w:rPr>
          <w:noProof/>
          <w:lang w:eastAsia="en-AU"/>
        </w:rPr>
        <w:drawing>
          <wp:inline distT="0" distB="0" distL="0" distR="0" wp14:anchorId="2C9369FF" wp14:editId="2E563900">
            <wp:extent cx="1790700" cy="12011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493" t="13098" r="1538" b="7277"/>
                    <a:stretch/>
                  </pic:blipFill>
                  <pic:spPr bwMode="auto">
                    <a:xfrm>
                      <a:off x="0" y="0"/>
                      <a:ext cx="1792140" cy="1202084"/>
                    </a:xfrm>
                    <a:prstGeom prst="rect">
                      <a:avLst/>
                    </a:prstGeom>
                    <a:ln>
                      <a:noFill/>
                    </a:ln>
                    <a:extLst>
                      <a:ext uri="{53640926-AAD7-44D8-BBD7-CCE9431645EC}">
                        <a14:shadowObscured xmlns:a14="http://schemas.microsoft.com/office/drawing/2010/main"/>
                      </a:ext>
                    </a:extLst>
                  </pic:spPr>
                </pic:pic>
              </a:graphicData>
            </a:graphic>
          </wp:inline>
        </w:drawing>
      </w:r>
    </w:p>
    <w:p w14:paraId="2F6AD8C3" w14:textId="77777777" w:rsidR="00520DD1" w:rsidRDefault="00520DD1" w:rsidP="00520DD1">
      <w:pPr>
        <w:spacing w:afterLines="25" w:after="60"/>
        <w:rPr>
          <w:rFonts w:cs="Arial"/>
          <w:b/>
          <w:szCs w:val="24"/>
        </w:rPr>
      </w:pPr>
    </w:p>
    <w:p w14:paraId="310A9013" w14:textId="77777777" w:rsidR="00520DD1" w:rsidRDefault="00520DD1" w:rsidP="00520DD1">
      <w:pPr>
        <w:spacing w:afterLines="25" w:after="60"/>
        <w:jc w:val="center"/>
        <w:rPr>
          <w:rFonts w:cs="Arial"/>
          <w:b/>
          <w:szCs w:val="24"/>
        </w:rPr>
      </w:pPr>
    </w:p>
    <w:p w14:paraId="7D45FD91" w14:textId="77777777" w:rsidR="00520DD1" w:rsidRDefault="00520DD1" w:rsidP="00520DD1">
      <w:pPr>
        <w:spacing w:line="360" w:lineRule="auto"/>
        <w:jc w:val="center"/>
        <w:rPr>
          <w:rFonts w:ascii="Book Antiqua" w:eastAsia="ヒラギノ角ゴ Pro W3" w:hAnsi="Book Antiqua"/>
          <w:b/>
          <w:color w:val="0E0C0B"/>
          <w:sz w:val="32"/>
          <w:szCs w:val="32"/>
        </w:rPr>
      </w:pPr>
    </w:p>
    <w:p w14:paraId="3D4366B6" w14:textId="47A2B383" w:rsidR="00520DD1" w:rsidRDefault="003D64A0" w:rsidP="00520DD1">
      <w:pPr>
        <w:pStyle w:val="BodyA"/>
        <w:spacing w:line="360" w:lineRule="auto"/>
        <w:jc w:val="center"/>
        <w:rPr>
          <w:rFonts w:ascii="Book Antiqua" w:hAnsi="Book Antiqua"/>
          <w:b/>
          <w:sz w:val="48"/>
          <w:szCs w:val="48"/>
        </w:rPr>
      </w:pPr>
      <w:r>
        <w:rPr>
          <w:rFonts w:ascii="Book Antiqua" w:hAnsi="Book Antiqua"/>
          <w:b/>
          <w:sz w:val="48"/>
          <w:szCs w:val="48"/>
        </w:rPr>
        <w:t>Legal Aid Criminal Law Conference 2021</w:t>
      </w:r>
    </w:p>
    <w:p w14:paraId="478CF001" w14:textId="77777777" w:rsidR="00755323" w:rsidRPr="004A5205" w:rsidRDefault="00755323" w:rsidP="00520DD1">
      <w:pPr>
        <w:pStyle w:val="BodyA"/>
        <w:spacing w:line="360" w:lineRule="auto"/>
        <w:jc w:val="center"/>
        <w:rPr>
          <w:rFonts w:ascii="Book Antiqua" w:eastAsia="Book Antiqua" w:hAnsi="Book Antiqua" w:cs="Book Antiqua"/>
          <w:b/>
          <w:bCs/>
          <w:color w:val="0E0C0B"/>
          <w:sz w:val="48"/>
          <w:szCs w:val="48"/>
        </w:rPr>
      </w:pPr>
    </w:p>
    <w:p w14:paraId="1D8F6B15" w14:textId="001C690D" w:rsidR="009834F9" w:rsidRPr="00755323" w:rsidRDefault="003D64A0" w:rsidP="009834F9">
      <w:pPr>
        <w:ind w:left="360" w:hanging="360"/>
        <w:jc w:val="center"/>
        <w:rPr>
          <w:rFonts w:ascii="Book Antiqua" w:hAnsi="Book Antiqua"/>
          <w:b/>
          <w:bCs/>
          <w:sz w:val="32"/>
          <w:szCs w:val="32"/>
        </w:rPr>
      </w:pPr>
      <w:r>
        <w:rPr>
          <w:rFonts w:ascii="Book Antiqua" w:hAnsi="Book Antiqua"/>
          <w:b/>
          <w:bCs/>
          <w:i/>
          <w:iCs/>
          <w:sz w:val="32"/>
          <w:szCs w:val="32"/>
        </w:rPr>
        <w:t xml:space="preserve">Control, Consent and Respect: Sexual Assault, Domestic </w:t>
      </w:r>
      <w:proofErr w:type="gramStart"/>
      <w:r>
        <w:rPr>
          <w:rFonts w:ascii="Book Antiqua" w:hAnsi="Book Antiqua"/>
          <w:b/>
          <w:bCs/>
          <w:i/>
          <w:iCs/>
          <w:sz w:val="32"/>
          <w:szCs w:val="32"/>
        </w:rPr>
        <w:t>Violence</w:t>
      </w:r>
      <w:proofErr w:type="gramEnd"/>
      <w:r>
        <w:rPr>
          <w:rFonts w:ascii="Book Antiqua" w:hAnsi="Book Antiqua"/>
          <w:b/>
          <w:bCs/>
          <w:i/>
          <w:iCs/>
          <w:sz w:val="32"/>
          <w:szCs w:val="32"/>
        </w:rPr>
        <w:t xml:space="preserve"> and our criminal justice system </w:t>
      </w:r>
    </w:p>
    <w:p w14:paraId="60B802C8" w14:textId="77777777" w:rsidR="00520DD1" w:rsidRDefault="00520DD1" w:rsidP="00520DD1">
      <w:pPr>
        <w:pStyle w:val="BodyA"/>
        <w:spacing w:line="360" w:lineRule="auto"/>
        <w:rPr>
          <w:rFonts w:ascii="Book Antiqua" w:hAnsi="Book Antiqua"/>
          <w:b/>
          <w:bCs/>
          <w:color w:val="0E0C0B"/>
          <w:sz w:val="46"/>
          <w:szCs w:val="46"/>
        </w:rPr>
      </w:pPr>
    </w:p>
    <w:p w14:paraId="0E4F9F3B" w14:textId="17A4CA52" w:rsidR="00520DD1" w:rsidRDefault="00520DD1" w:rsidP="00520DD1">
      <w:pPr>
        <w:pStyle w:val="BodyA"/>
        <w:spacing w:line="360" w:lineRule="auto"/>
        <w:jc w:val="center"/>
        <w:rPr>
          <w:rFonts w:ascii="Book Antiqua" w:hAnsi="Book Antiqua"/>
          <w:b/>
          <w:bCs/>
          <w:color w:val="0E0C0B"/>
          <w:sz w:val="46"/>
          <w:szCs w:val="46"/>
        </w:rPr>
      </w:pPr>
    </w:p>
    <w:p w14:paraId="27F274B2" w14:textId="1B73A064" w:rsidR="0099079F" w:rsidRDefault="0099079F" w:rsidP="00520DD1">
      <w:pPr>
        <w:pStyle w:val="BodyA"/>
        <w:spacing w:line="360" w:lineRule="auto"/>
        <w:jc w:val="center"/>
        <w:rPr>
          <w:rFonts w:ascii="Book Antiqua" w:hAnsi="Book Antiqua"/>
          <w:b/>
          <w:bCs/>
          <w:color w:val="0E0C0B"/>
          <w:sz w:val="46"/>
          <w:szCs w:val="46"/>
        </w:rPr>
      </w:pPr>
    </w:p>
    <w:p w14:paraId="3DDCD9FF" w14:textId="5CA3D1EB" w:rsidR="0099079F" w:rsidRDefault="0099079F" w:rsidP="00520DD1">
      <w:pPr>
        <w:pStyle w:val="BodyA"/>
        <w:spacing w:line="360" w:lineRule="auto"/>
        <w:jc w:val="center"/>
        <w:rPr>
          <w:rFonts w:ascii="Book Antiqua" w:hAnsi="Book Antiqua"/>
          <w:b/>
          <w:bCs/>
          <w:color w:val="0E0C0B"/>
          <w:sz w:val="46"/>
          <w:szCs w:val="46"/>
        </w:rPr>
      </w:pPr>
    </w:p>
    <w:p w14:paraId="013F6DA2" w14:textId="4DB6E836" w:rsidR="00520DD1" w:rsidRDefault="00520DD1" w:rsidP="00520DD1">
      <w:pPr>
        <w:spacing w:after="200" w:line="276" w:lineRule="auto"/>
        <w:rPr>
          <w:rFonts w:ascii="Book Antiqua" w:hAnsi="Book Antiqua"/>
          <w:b/>
          <w:bCs/>
          <w:color w:val="0E0C0B"/>
          <w:sz w:val="46"/>
          <w:szCs w:val="46"/>
        </w:rPr>
      </w:pPr>
    </w:p>
    <w:p w14:paraId="7CF72EBD" w14:textId="31C901AC" w:rsidR="003D64A0" w:rsidRDefault="003D64A0" w:rsidP="003D64A0">
      <w:pPr>
        <w:spacing w:after="200" w:line="276" w:lineRule="auto"/>
        <w:jc w:val="center"/>
        <w:rPr>
          <w:rFonts w:ascii="Book Antiqua" w:hAnsi="Book Antiqua"/>
          <w:b/>
          <w:bCs/>
          <w:color w:val="0E0C0B"/>
          <w:sz w:val="46"/>
          <w:szCs w:val="46"/>
        </w:rPr>
      </w:pPr>
    </w:p>
    <w:p w14:paraId="0751E473" w14:textId="56A1105E" w:rsidR="003D64A0" w:rsidRPr="003D64A0" w:rsidRDefault="003D64A0" w:rsidP="003D64A0">
      <w:pPr>
        <w:spacing w:after="200" w:line="276" w:lineRule="auto"/>
        <w:jc w:val="center"/>
        <w:rPr>
          <w:rFonts w:ascii="Book Antiqua" w:hAnsi="Book Antiqua"/>
          <w:b/>
          <w:bCs/>
          <w:color w:val="0E0C0B"/>
          <w:sz w:val="44"/>
          <w:szCs w:val="44"/>
        </w:rPr>
      </w:pPr>
      <w:r w:rsidRPr="003D64A0">
        <w:rPr>
          <w:rFonts w:ascii="Book Antiqua" w:hAnsi="Book Antiqua"/>
          <w:b/>
          <w:bCs/>
          <w:color w:val="0E0C0B"/>
          <w:sz w:val="44"/>
          <w:szCs w:val="44"/>
        </w:rPr>
        <w:t>Wednesday, 2 June 2021</w:t>
      </w:r>
    </w:p>
    <w:p w14:paraId="7BFDB92A" w14:textId="52EF0415" w:rsidR="003D64A0" w:rsidRPr="003D64A0" w:rsidRDefault="003D64A0" w:rsidP="003D64A0">
      <w:pPr>
        <w:spacing w:after="200" w:line="276" w:lineRule="auto"/>
        <w:jc w:val="center"/>
        <w:rPr>
          <w:rFonts w:ascii="Book Antiqua" w:hAnsi="Book Antiqua"/>
          <w:b/>
          <w:bCs/>
          <w:color w:val="0E0C0B"/>
          <w:sz w:val="44"/>
          <w:szCs w:val="44"/>
        </w:rPr>
      </w:pPr>
      <w:r w:rsidRPr="003D64A0">
        <w:rPr>
          <w:rFonts w:ascii="Book Antiqua" w:hAnsi="Book Antiqua"/>
          <w:b/>
          <w:bCs/>
          <w:color w:val="0E0C0B"/>
          <w:sz w:val="44"/>
          <w:szCs w:val="44"/>
        </w:rPr>
        <w:t>International Convention Centre, Sydney</w:t>
      </w:r>
    </w:p>
    <w:p w14:paraId="247049CE" w14:textId="5077C75A" w:rsidR="00511C35" w:rsidRPr="006756E0" w:rsidRDefault="00511C35" w:rsidP="00511C35">
      <w:pPr>
        <w:ind w:left="360" w:hanging="360"/>
        <w:jc w:val="center"/>
        <w:rPr>
          <w:rFonts w:ascii="Book Antiqua" w:hAnsi="Book Antiqua" w:cs="Arial"/>
          <w:b/>
          <w:bCs/>
          <w:sz w:val="24"/>
          <w:szCs w:val="24"/>
        </w:rPr>
      </w:pPr>
      <w:r w:rsidRPr="006756E0">
        <w:rPr>
          <w:rFonts w:ascii="Book Antiqua" w:hAnsi="Book Antiqua" w:cs="Arial"/>
          <w:b/>
          <w:bCs/>
          <w:sz w:val="24"/>
          <w:szCs w:val="24"/>
        </w:rPr>
        <w:lastRenderedPageBreak/>
        <w:t xml:space="preserve">Control, Consent and Respect: Sexual Assault, Domestic </w:t>
      </w:r>
      <w:proofErr w:type="gramStart"/>
      <w:r w:rsidRPr="006756E0">
        <w:rPr>
          <w:rFonts w:ascii="Book Antiqua" w:hAnsi="Book Antiqua" w:cs="Arial"/>
          <w:b/>
          <w:bCs/>
          <w:sz w:val="24"/>
          <w:szCs w:val="24"/>
        </w:rPr>
        <w:t>Violence</w:t>
      </w:r>
      <w:proofErr w:type="gramEnd"/>
      <w:r w:rsidRPr="006756E0">
        <w:rPr>
          <w:rFonts w:ascii="Book Antiqua" w:hAnsi="Book Antiqua" w:cs="Arial"/>
          <w:b/>
          <w:bCs/>
          <w:sz w:val="24"/>
          <w:szCs w:val="24"/>
        </w:rPr>
        <w:t xml:space="preserve"> and our criminal justice system</w:t>
      </w:r>
      <w:r w:rsidR="00EB340A" w:rsidRPr="00EB340A">
        <w:rPr>
          <w:rFonts w:ascii="Book Antiqua" w:hAnsi="Book Antiqua" w:cs="Arial"/>
          <w:b/>
          <w:bCs/>
          <w:sz w:val="24"/>
          <w:szCs w:val="24"/>
          <w:vertAlign w:val="superscript"/>
        </w:rPr>
        <w:t>*</w:t>
      </w:r>
      <w:r w:rsidR="00EB340A">
        <w:rPr>
          <w:rFonts w:ascii="Book Antiqua" w:hAnsi="Book Antiqua" w:cs="Arial"/>
          <w:b/>
          <w:bCs/>
          <w:sz w:val="24"/>
          <w:szCs w:val="24"/>
        </w:rPr>
        <w:t xml:space="preserve"> </w:t>
      </w:r>
      <w:r w:rsidRPr="006756E0">
        <w:rPr>
          <w:rFonts w:ascii="Book Antiqua" w:hAnsi="Book Antiqua" w:cs="Arial"/>
          <w:b/>
          <w:bCs/>
          <w:sz w:val="24"/>
          <w:szCs w:val="24"/>
        </w:rPr>
        <w:t xml:space="preserve"> </w:t>
      </w:r>
    </w:p>
    <w:p w14:paraId="29BA142B" w14:textId="5C23F3E5" w:rsidR="00606319" w:rsidRPr="006756E0" w:rsidRDefault="00606319" w:rsidP="00DD1724">
      <w:pPr>
        <w:spacing w:line="360" w:lineRule="auto"/>
        <w:ind w:left="360" w:hanging="360"/>
        <w:jc w:val="center"/>
        <w:rPr>
          <w:rFonts w:ascii="Book Antiqua" w:hAnsi="Book Antiqua" w:cs="Arial"/>
          <w:b/>
          <w:bCs/>
          <w:sz w:val="24"/>
          <w:szCs w:val="24"/>
        </w:rPr>
      </w:pPr>
      <w:r w:rsidRPr="006756E0">
        <w:rPr>
          <w:rFonts w:ascii="Book Antiqua" w:hAnsi="Book Antiqua" w:cs="Arial"/>
          <w:b/>
          <w:bCs/>
          <w:sz w:val="24"/>
          <w:szCs w:val="24"/>
        </w:rPr>
        <w:t>The Honourable Margaret Beazley AC QC</w:t>
      </w:r>
      <w:r w:rsidR="00F76C69" w:rsidRPr="006756E0">
        <w:rPr>
          <w:rStyle w:val="FootnoteReference"/>
          <w:rFonts w:ascii="Book Antiqua" w:hAnsi="Book Antiqua" w:cs="Arial"/>
          <w:b/>
          <w:bCs/>
          <w:sz w:val="24"/>
          <w:szCs w:val="24"/>
        </w:rPr>
        <w:footnoteReference w:id="2"/>
      </w:r>
    </w:p>
    <w:p w14:paraId="73C48C9D" w14:textId="18EF52FD" w:rsidR="00A84E6A" w:rsidRPr="00A84E6A" w:rsidRDefault="00A84E6A" w:rsidP="008A22CF">
      <w:pPr>
        <w:pStyle w:val="NumParra"/>
        <w:numPr>
          <w:ilvl w:val="0"/>
          <w:numId w:val="0"/>
        </w:numPr>
        <w:ind w:left="786" w:hanging="360"/>
        <w:rPr>
          <w:rFonts w:ascii="Book Antiqua" w:hAnsi="Book Antiqua" w:cs="Arial"/>
          <w:szCs w:val="24"/>
        </w:rPr>
      </w:pPr>
      <w:r w:rsidRPr="008A22CF">
        <w:rPr>
          <w:rFonts w:ascii="Book Antiqua" w:hAnsi="Book Antiqua" w:cs="Arial"/>
          <w:b/>
          <w:bCs/>
          <w:szCs w:val="24"/>
        </w:rPr>
        <w:t>Introduction</w:t>
      </w:r>
    </w:p>
    <w:p w14:paraId="710B33B6" w14:textId="2A2B69B8" w:rsidR="00F14730" w:rsidRPr="00F14730" w:rsidRDefault="00FB704D" w:rsidP="00F14730">
      <w:pPr>
        <w:pStyle w:val="NumParra"/>
        <w:jc w:val="both"/>
        <w:rPr>
          <w:rFonts w:ascii="Book Antiqua" w:hAnsi="Book Antiqua"/>
          <w:szCs w:val="24"/>
        </w:rPr>
      </w:pPr>
      <w:r>
        <w:rPr>
          <w:rFonts w:ascii="Book Antiqua" w:hAnsi="Book Antiqua"/>
          <w:szCs w:val="24"/>
        </w:rPr>
        <w:t>I</w:t>
      </w:r>
      <w:r w:rsidR="00F14730" w:rsidRPr="007B7CF0">
        <w:rPr>
          <w:rFonts w:ascii="Book Antiqua" w:hAnsi="Book Antiqua"/>
          <w:szCs w:val="24"/>
        </w:rPr>
        <w:t xml:space="preserve">n the last decade, and </w:t>
      </w:r>
      <w:r w:rsidR="00F14730">
        <w:rPr>
          <w:rFonts w:ascii="Book Antiqua" w:hAnsi="Book Antiqua"/>
          <w:szCs w:val="24"/>
        </w:rPr>
        <w:t xml:space="preserve">in </w:t>
      </w:r>
      <w:r w:rsidR="00F14730" w:rsidRPr="007B7CF0">
        <w:rPr>
          <w:rFonts w:ascii="Book Antiqua" w:hAnsi="Book Antiqua"/>
          <w:szCs w:val="24"/>
        </w:rPr>
        <w:t>the last five years in particular, there has been a</w:t>
      </w:r>
      <w:r w:rsidR="00F14730">
        <w:rPr>
          <w:rFonts w:ascii="Book Antiqua" w:hAnsi="Book Antiqua"/>
          <w:szCs w:val="24"/>
        </w:rPr>
        <w:t>n increased</w:t>
      </w:r>
      <w:r w:rsidR="00F14730" w:rsidRPr="007B7CF0">
        <w:rPr>
          <w:rFonts w:ascii="Book Antiqua" w:hAnsi="Book Antiqua"/>
          <w:szCs w:val="24"/>
        </w:rPr>
        <w:t xml:space="preserve"> focus on sexual assault in a number of different </w:t>
      </w:r>
      <w:r w:rsidR="00F14730">
        <w:rPr>
          <w:rFonts w:ascii="Book Antiqua" w:hAnsi="Book Antiqua"/>
          <w:szCs w:val="24"/>
        </w:rPr>
        <w:t>contexts</w:t>
      </w:r>
      <w:r w:rsidR="00F14730" w:rsidRPr="007B7CF0">
        <w:rPr>
          <w:rFonts w:ascii="Book Antiqua" w:hAnsi="Book Antiqua"/>
          <w:szCs w:val="24"/>
        </w:rPr>
        <w:t xml:space="preserve">, </w:t>
      </w:r>
      <w:r w:rsidR="00F14730">
        <w:rPr>
          <w:rFonts w:ascii="Book Antiqua" w:hAnsi="Book Antiqua"/>
          <w:szCs w:val="24"/>
        </w:rPr>
        <w:t xml:space="preserve">including </w:t>
      </w:r>
      <w:r w:rsidR="00F14730" w:rsidRPr="007B7CF0">
        <w:rPr>
          <w:rFonts w:ascii="Book Antiqua" w:hAnsi="Book Antiqua"/>
          <w:szCs w:val="24"/>
        </w:rPr>
        <w:t xml:space="preserve"> the Royal Commission into Institutional Responses to Child Sexual Abuse,</w:t>
      </w:r>
      <w:r w:rsidR="00F14730" w:rsidRPr="007B7CF0">
        <w:rPr>
          <w:rStyle w:val="FootnoteReference"/>
          <w:rFonts w:ascii="Book Antiqua" w:hAnsi="Book Antiqua" w:cs="Arial"/>
          <w:szCs w:val="24"/>
        </w:rPr>
        <w:footnoteReference w:id="3"/>
      </w:r>
      <w:r w:rsidR="00F14730" w:rsidRPr="007B7CF0">
        <w:rPr>
          <w:rFonts w:ascii="Book Antiqua" w:hAnsi="Book Antiqua"/>
          <w:szCs w:val="24"/>
        </w:rPr>
        <w:t xml:space="preserve"> the </w:t>
      </w:r>
      <w:r w:rsidR="00F14730" w:rsidRPr="007B7CF0">
        <w:rPr>
          <w:rFonts w:ascii="Book Antiqua" w:hAnsi="Book Antiqua"/>
          <w:i/>
          <w:iCs/>
          <w:szCs w:val="24"/>
        </w:rPr>
        <w:t xml:space="preserve">Lazarus </w:t>
      </w:r>
      <w:r w:rsidR="00F14730" w:rsidRPr="007B7CF0">
        <w:rPr>
          <w:rFonts w:ascii="Book Antiqua" w:hAnsi="Book Antiqua"/>
          <w:szCs w:val="24"/>
        </w:rPr>
        <w:t>case,</w:t>
      </w:r>
      <w:r w:rsidR="00F14730" w:rsidRPr="007B7CF0">
        <w:rPr>
          <w:rStyle w:val="FootnoteReference"/>
          <w:rFonts w:ascii="Book Antiqua" w:hAnsi="Book Antiqua" w:cs="Arial"/>
          <w:szCs w:val="24"/>
        </w:rPr>
        <w:footnoteReference w:id="4"/>
      </w:r>
      <w:r w:rsidR="00F14730" w:rsidRPr="007B7CF0">
        <w:rPr>
          <w:rFonts w:ascii="Book Antiqua" w:hAnsi="Book Antiqua"/>
          <w:szCs w:val="24"/>
        </w:rPr>
        <w:t xml:space="preserve"> Grace </w:t>
      </w:r>
      <w:proofErr w:type="spellStart"/>
      <w:r w:rsidR="00F14730" w:rsidRPr="007B7CF0">
        <w:rPr>
          <w:rFonts w:ascii="Book Antiqua" w:hAnsi="Book Antiqua"/>
          <w:szCs w:val="24"/>
        </w:rPr>
        <w:t>Tame’s</w:t>
      </w:r>
      <w:proofErr w:type="spellEnd"/>
      <w:r w:rsidR="00F14730" w:rsidRPr="007B7CF0">
        <w:rPr>
          <w:rFonts w:ascii="Book Antiqua" w:hAnsi="Book Antiqua"/>
          <w:szCs w:val="24"/>
        </w:rPr>
        <w:t xml:space="preserve"> </w:t>
      </w:r>
      <w:r w:rsidR="00F14730" w:rsidRPr="00AD3B64">
        <w:rPr>
          <w:rFonts w:ascii="Book Antiqua" w:hAnsi="Book Antiqua"/>
          <w:i/>
          <w:iCs/>
          <w:szCs w:val="24"/>
        </w:rPr>
        <w:t>#LetHerSpeak</w:t>
      </w:r>
      <w:r w:rsidR="00F14730" w:rsidRPr="007B7CF0">
        <w:rPr>
          <w:rStyle w:val="FootnoteReference"/>
          <w:rFonts w:ascii="Book Antiqua" w:hAnsi="Book Antiqua" w:cs="Arial"/>
          <w:szCs w:val="24"/>
        </w:rPr>
        <w:footnoteReference w:id="5"/>
      </w:r>
      <w:r w:rsidR="00F14730" w:rsidRPr="007B7CF0">
        <w:rPr>
          <w:rFonts w:ascii="Book Antiqua" w:hAnsi="Book Antiqua"/>
          <w:szCs w:val="24"/>
        </w:rPr>
        <w:t xml:space="preserve"> campaign</w:t>
      </w:r>
      <w:r w:rsidR="00F14730">
        <w:rPr>
          <w:rFonts w:ascii="Book Antiqua" w:hAnsi="Book Antiqua"/>
          <w:szCs w:val="24"/>
        </w:rPr>
        <w:t>,</w:t>
      </w:r>
      <w:r w:rsidR="00F14730" w:rsidRPr="007B7CF0">
        <w:rPr>
          <w:rFonts w:ascii="Book Antiqua" w:hAnsi="Book Antiqua"/>
          <w:szCs w:val="24"/>
        </w:rPr>
        <w:t xml:space="preserve"> which resulted in legislative changes in Tasmania, and the recent </w:t>
      </w:r>
      <w:r w:rsidR="00F14730">
        <w:rPr>
          <w:rFonts w:ascii="Book Antiqua" w:hAnsi="Book Antiqua"/>
          <w:szCs w:val="24"/>
        </w:rPr>
        <w:t>NSW</w:t>
      </w:r>
      <w:r w:rsidR="00F14730" w:rsidRPr="007B7CF0">
        <w:rPr>
          <w:rFonts w:ascii="Book Antiqua" w:hAnsi="Book Antiqua"/>
          <w:szCs w:val="24"/>
        </w:rPr>
        <w:t xml:space="preserve"> Law Reform Commission</w:t>
      </w:r>
      <w:r w:rsidR="00F14730">
        <w:rPr>
          <w:rFonts w:ascii="Book Antiqua" w:hAnsi="Book Antiqua"/>
          <w:szCs w:val="24"/>
        </w:rPr>
        <w:t xml:space="preserve"> Report</w:t>
      </w:r>
      <w:r w:rsidR="00F14730" w:rsidRPr="007B7CF0">
        <w:rPr>
          <w:rFonts w:ascii="Book Antiqua" w:hAnsi="Book Antiqua"/>
          <w:szCs w:val="24"/>
        </w:rPr>
        <w:t xml:space="preserve"> on ‘Consent in relation to sexual offences’.</w:t>
      </w:r>
      <w:r w:rsidR="00F14730" w:rsidRPr="007B7CF0">
        <w:rPr>
          <w:rStyle w:val="FootnoteReference"/>
          <w:rFonts w:ascii="Book Antiqua" w:hAnsi="Book Antiqua" w:cs="Arial"/>
          <w:szCs w:val="24"/>
        </w:rPr>
        <w:footnoteReference w:id="6"/>
      </w:r>
      <w:r w:rsidR="00F14730" w:rsidRPr="007B7CF0">
        <w:rPr>
          <w:rFonts w:ascii="Book Antiqua" w:hAnsi="Book Antiqua"/>
          <w:szCs w:val="24"/>
        </w:rPr>
        <w:t xml:space="preserve">  The Attorney</w:t>
      </w:r>
      <w:r w:rsidR="00F14730">
        <w:rPr>
          <w:rFonts w:ascii="Book Antiqua" w:hAnsi="Book Antiqua"/>
          <w:szCs w:val="24"/>
        </w:rPr>
        <w:t xml:space="preserve"> </w:t>
      </w:r>
      <w:r w:rsidR="00F14730" w:rsidRPr="007B7CF0">
        <w:rPr>
          <w:rFonts w:ascii="Book Antiqua" w:hAnsi="Book Antiqua"/>
          <w:szCs w:val="24"/>
        </w:rPr>
        <w:t xml:space="preserve">General has announced that the NSW Government will be supporting the </w:t>
      </w:r>
      <w:r w:rsidR="00F14730">
        <w:rPr>
          <w:rFonts w:ascii="Book Antiqua" w:hAnsi="Book Antiqua"/>
          <w:szCs w:val="24"/>
        </w:rPr>
        <w:t>Commission’s</w:t>
      </w:r>
      <w:r w:rsidR="00F14730" w:rsidRPr="007B7CF0">
        <w:rPr>
          <w:rFonts w:ascii="Book Antiqua" w:hAnsi="Book Antiqua"/>
          <w:szCs w:val="24"/>
        </w:rPr>
        <w:t xml:space="preserve"> 44 recommendations </w:t>
      </w:r>
      <w:r w:rsidR="00F14730">
        <w:rPr>
          <w:rFonts w:ascii="Book Antiqua" w:hAnsi="Book Antiqua"/>
          <w:szCs w:val="24"/>
        </w:rPr>
        <w:t>outlined in the Report</w:t>
      </w:r>
      <w:r w:rsidR="00F14730" w:rsidRPr="007B7CF0">
        <w:rPr>
          <w:rFonts w:ascii="Book Antiqua" w:hAnsi="Book Antiqua"/>
          <w:szCs w:val="24"/>
        </w:rPr>
        <w:t>, as well as going further to adopt an ‘affirmative model of consent’</w:t>
      </w:r>
      <w:r w:rsidR="00F14730">
        <w:rPr>
          <w:rFonts w:ascii="Book Antiqua" w:hAnsi="Book Antiqua"/>
          <w:szCs w:val="24"/>
        </w:rPr>
        <w:t>,</w:t>
      </w:r>
      <w:r w:rsidR="00F14730" w:rsidRPr="007B7CF0">
        <w:rPr>
          <w:rStyle w:val="FootnoteReference"/>
          <w:rFonts w:ascii="Book Antiqua" w:hAnsi="Book Antiqua" w:cs="Arial"/>
          <w:szCs w:val="24"/>
        </w:rPr>
        <w:footnoteReference w:id="7"/>
      </w:r>
      <w:r w:rsidR="00F14730" w:rsidRPr="007B7CF0">
        <w:rPr>
          <w:rFonts w:ascii="Book Antiqua" w:hAnsi="Book Antiqua"/>
          <w:szCs w:val="24"/>
        </w:rPr>
        <w:t xml:space="preserve">  </w:t>
      </w:r>
      <w:r w:rsidR="008D2735">
        <w:rPr>
          <w:rFonts w:ascii="Book Antiqua" w:hAnsi="Book Antiqua"/>
          <w:szCs w:val="24"/>
        </w:rPr>
        <w:t xml:space="preserve">to </w:t>
      </w:r>
      <w:r w:rsidR="00F14730">
        <w:rPr>
          <w:rFonts w:ascii="Book Antiqua" w:hAnsi="Book Antiqua"/>
          <w:szCs w:val="24"/>
        </w:rPr>
        <w:t xml:space="preserve">which </w:t>
      </w:r>
      <w:r w:rsidR="00F14730" w:rsidRPr="007B7CF0">
        <w:rPr>
          <w:rFonts w:ascii="Book Antiqua" w:hAnsi="Book Antiqua"/>
          <w:szCs w:val="24"/>
        </w:rPr>
        <w:t xml:space="preserve">I will refer in more detail later in this paper.  </w:t>
      </w:r>
    </w:p>
    <w:p w14:paraId="559808DB" w14:textId="18BE2444" w:rsidR="00756302" w:rsidRPr="007B7CF0" w:rsidRDefault="00756302" w:rsidP="007B7CF0">
      <w:pPr>
        <w:pStyle w:val="NumParra"/>
        <w:jc w:val="both"/>
        <w:rPr>
          <w:rFonts w:ascii="Book Antiqua" w:hAnsi="Book Antiqua"/>
          <w:szCs w:val="24"/>
        </w:rPr>
      </w:pPr>
      <w:r w:rsidRPr="007B7CF0">
        <w:rPr>
          <w:rFonts w:ascii="Book Antiqua" w:hAnsi="Book Antiqua"/>
          <w:szCs w:val="24"/>
        </w:rPr>
        <w:t>Sexual assault is and always has been a serious crime</w:t>
      </w:r>
      <w:r w:rsidR="00107ED1">
        <w:rPr>
          <w:rFonts w:ascii="Book Antiqua" w:hAnsi="Book Antiqua"/>
          <w:szCs w:val="24"/>
        </w:rPr>
        <w:t xml:space="preserve"> and carries</w:t>
      </w:r>
      <w:r w:rsidRPr="007B7CF0">
        <w:rPr>
          <w:rFonts w:ascii="Book Antiqua" w:hAnsi="Book Antiqua"/>
          <w:szCs w:val="24"/>
        </w:rPr>
        <w:t xml:space="preserve"> </w:t>
      </w:r>
      <w:r w:rsidR="00107ED1">
        <w:rPr>
          <w:rFonts w:ascii="Book Antiqua" w:hAnsi="Book Antiqua"/>
          <w:szCs w:val="24"/>
        </w:rPr>
        <w:t xml:space="preserve">significant penal consequences.  Notwithstanding this, </w:t>
      </w:r>
      <w:r w:rsidRPr="006D6D02">
        <w:rPr>
          <w:rFonts w:ascii="Book Antiqua" w:hAnsi="Book Antiqua"/>
          <w:szCs w:val="24"/>
        </w:rPr>
        <w:t xml:space="preserve">it remains one of the most prevalent </w:t>
      </w:r>
      <w:r w:rsidR="00EB4A01" w:rsidRPr="00D47EEA">
        <w:rPr>
          <w:rFonts w:ascii="Book Antiqua" w:hAnsi="Book Antiqua"/>
          <w:szCs w:val="24"/>
        </w:rPr>
        <w:t>offences</w:t>
      </w:r>
      <w:r w:rsidR="00EB4A01" w:rsidRPr="006D6D02">
        <w:rPr>
          <w:rFonts w:ascii="Book Antiqua" w:hAnsi="Book Antiqua"/>
          <w:szCs w:val="24"/>
        </w:rPr>
        <w:t xml:space="preserve"> </w:t>
      </w:r>
      <w:r w:rsidRPr="006D6D02">
        <w:rPr>
          <w:rFonts w:ascii="Book Antiqua" w:hAnsi="Book Antiqua"/>
          <w:szCs w:val="24"/>
        </w:rPr>
        <w:t xml:space="preserve">in this </w:t>
      </w:r>
      <w:r w:rsidR="00E61C7E">
        <w:rPr>
          <w:rFonts w:ascii="Book Antiqua" w:hAnsi="Book Antiqua"/>
          <w:szCs w:val="24"/>
        </w:rPr>
        <w:t>s</w:t>
      </w:r>
      <w:r w:rsidRPr="006D6D02">
        <w:rPr>
          <w:rFonts w:ascii="Book Antiqua" w:hAnsi="Book Antiqua"/>
          <w:szCs w:val="24"/>
        </w:rPr>
        <w:t>tate and statistically is increasing.</w:t>
      </w:r>
      <w:r w:rsidRPr="007B7CF0">
        <w:rPr>
          <w:rFonts w:ascii="Book Antiqua" w:hAnsi="Book Antiqua"/>
          <w:szCs w:val="24"/>
        </w:rPr>
        <w:t xml:space="preserve">  As of March 2021, </w:t>
      </w:r>
      <w:r w:rsidRPr="007B7CF0">
        <w:rPr>
          <w:rFonts w:ascii="Book Antiqua" w:hAnsi="Book Antiqua"/>
          <w:szCs w:val="24"/>
        </w:rPr>
        <w:lastRenderedPageBreak/>
        <w:t>sexual assaults are recorded to have increased by 14.4% in the previous 24 months.</w:t>
      </w:r>
      <w:r w:rsidR="001B7F72">
        <w:rPr>
          <w:rStyle w:val="FootnoteReference"/>
          <w:rFonts w:ascii="Book Antiqua" w:hAnsi="Book Antiqua"/>
          <w:szCs w:val="24"/>
        </w:rPr>
        <w:footnoteReference w:id="8"/>
      </w:r>
      <w:r w:rsidR="001B7F72" w:rsidRPr="007B7CF0">
        <w:rPr>
          <w:rFonts w:ascii="Book Antiqua" w:hAnsi="Book Antiqua"/>
          <w:szCs w:val="24"/>
        </w:rPr>
        <w:t xml:space="preserve"> </w:t>
      </w:r>
      <w:r w:rsidRPr="007B7CF0">
        <w:rPr>
          <w:rFonts w:ascii="Book Antiqua" w:hAnsi="Book Antiqua"/>
          <w:szCs w:val="24"/>
        </w:rPr>
        <w:t xml:space="preserve"> Indecent assaults and other sexual offences are reported to have remained stable, although</w:t>
      </w:r>
      <w:r w:rsidR="00216557">
        <w:rPr>
          <w:rFonts w:ascii="Book Antiqua" w:hAnsi="Book Antiqua"/>
          <w:szCs w:val="24"/>
        </w:rPr>
        <w:t xml:space="preserve"> they</w:t>
      </w:r>
      <w:r w:rsidRPr="007B7CF0">
        <w:rPr>
          <w:rFonts w:ascii="Book Antiqua" w:hAnsi="Book Antiqua"/>
          <w:szCs w:val="24"/>
        </w:rPr>
        <w:t xml:space="preserve"> had increased by 3% over the previous 60 months.</w:t>
      </w:r>
      <w:r w:rsidR="00A05527">
        <w:rPr>
          <w:rStyle w:val="FootnoteReference"/>
          <w:rFonts w:ascii="Book Antiqua" w:hAnsi="Book Antiqua"/>
          <w:szCs w:val="24"/>
        </w:rPr>
        <w:footnoteReference w:id="9"/>
      </w:r>
      <w:r w:rsidRPr="007B7CF0">
        <w:rPr>
          <w:rFonts w:ascii="Book Antiqua" w:hAnsi="Book Antiqua"/>
          <w:szCs w:val="24"/>
        </w:rPr>
        <w:t xml:space="preserve"> </w:t>
      </w:r>
      <w:r w:rsidR="008D2735" w:rsidRPr="007B7CF0">
        <w:rPr>
          <w:rFonts w:ascii="Book Antiqua" w:hAnsi="Book Antiqua"/>
          <w:szCs w:val="24"/>
        </w:rPr>
        <w:t>However, according to the NSW Bureau of Crime Statistics and Research (‘BO</w:t>
      </w:r>
      <w:r w:rsidR="008D2735">
        <w:rPr>
          <w:rFonts w:ascii="Book Antiqua" w:hAnsi="Book Antiqua"/>
          <w:szCs w:val="24"/>
        </w:rPr>
        <w:t>CS</w:t>
      </w:r>
      <w:r w:rsidR="008D2735" w:rsidRPr="007B7CF0">
        <w:rPr>
          <w:rFonts w:ascii="Book Antiqua" w:hAnsi="Book Antiqua"/>
          <w:szCs w:val="24"/>
        </w:rPr>
        <w:t xml:space="preserve">AR’) in </w:t>
      </w:r>
      <w:r w:rsidR="006A7EE1">
        <w:rPr>
          <w:rFonts w:ascii="Book Antiqua" w:hAnsi="Book Antiqua"/>
          <w:szCs w:val="24"/>
        </w:rPr>
        <w:t>2020</w:t>
      </w:r>
      <w:r w:rsidR="008D2735" w:rsidRPr="007B7CF0">
        <w:rPr>
          <w:rFonts w:ascii="Book Antiqua" w:hAnsi="Book Antiqua"/>
          <w:szCs w:val="24"/>
        </w:rPr>
        <w:t xml:space="preserve">, only </w:t>
      </w:r>
      <w:r w:rsidR="006A7EE1">
        <w:rPr>
          <w:rFonts w:ascii="Book Antiqua" w:hAnsi="Book Antiqua"/>
          <w:szCs w:val="24"/>
        </w:rPr>
        <w:t>17.4</w:t>
      </w:r>
      <w:r w:rsidR="008D2735" w:rsidRPr="007B7CF0">
        <w:rPr>
          <w:rFonts w:ascii="Book Antiqua" w:hAnsi="Book Antiqua"/>
          <w:szCs w:val="24"/>
        </w:rPr>
        <w:t>% of all reported sexual assault incidents involving victims aged above 16, and 12.</w:t>
      </w:r>
      <w:r w:rsidR="006A7EE1">
        <w:rPr>
          <w:rFonts w:ascii="Book Antiqua" w:hAnsi="Book Antiqua"/>
          <w:szCs w:val="24"/>
        </w:rPr>
        <w:t>6</w:t>
      </w:r>
      <w:r w:rsidR="008D2735" w:rsidRPr="007B7CF0">
        <w:rPr>
          <w:rFonts w:ascii="Book Antiqua" w:hAnsi="Book Antiqua"/>
          <w:szCs w:val="24"/>
        </w:rPr>
        <w:t>% of incidents involving children, resulted in criminal proceedings being commenced.</w:t>
      </w:r>
      <w:r w:rsidR="008D2735" w:rsidRPr="007B7CF0">
        <w:rPr>
          <w:rStyle w:val="FootnoteReference"/>
          <w:rFonts w:ascii="Book Antiqua" w:hAnsi="Book Antiqua" w:cs="Arial"/>
          <w:szCs w:val="24"/>
        </w:rPr>
        <w:footnoteReference w:id="10"/>
      </w:r>
      <w:r w:rsidR="008D2735" w:rsidRPr="007B7CF0">
        <w:rPr>
          <w:rFonts w:ascii="Book Antiqua" w:hAnsi="Book Antiqua"/>
          <w:szCs w:val="24"/>
        </w:rPr>
        <w:t xml:space="preserve"> </w:t>
      </w:r>
      <w:r w:rsidR="008D2735">
        <w:rPr>
          <w:rFonts w:ascii="Book Antiqua" w:hAnsi="Book Antiqua"/>
          <w:szCs w:val="24"/>
        </w:rPr>
        <w:t xml:space="preserve"> </w:t>
      </w:r>
    </w:p>
    <w:p w14:paraId="1A5CEB1F" w14:textId="3E0D1DEF" w:rsidR="00F77721" w:rsidRPr="00444C5E" w:rsidRDefault="00107ED1" w:rsidP="007B7CF0">
      <w:pPr>
        <w:pStyle w:val="NumParra"/>
        <w:jc w:val="both"/>
        <w:rPr>
          <w:rFonts w:ascii="Book Antiqua" w:hAnsi="Book Antiqua"/>
          <w:szCs w:val="24"/>
        </w:rPr>
      </w:pPr>
      <w:r w:rsidRPr="00444C5E">
        <w:rPr>
          <w:rFonts w:ascii="Book Antiqua" w:hAnsi="Book Antiqua"/>
          <w:szCs w:val="24"/>
        </w:rPr>
        <w:t>By way of contrast,</w:t>
      </w:r>
      <w:r w:rsidR="00756302" w:rsidRPr="00444C5E">
        <w:rPr>
          <w:rFonts w:ascii="Book Antiqua" w:hAnsi="Book Antiqua"/>
          <w:szCs w:val="24"/>
        </w:rPr>
        <w:t xml:space="preserve"> </w:t>
      </w:r>
      <w:r w:rsidR="002001BB" w:rsidRPr="00444C5E">
        <w:rPr>
          <w:rFonts w:ascii="Book Antiqua" w:hAnsi="Book Antiqua"/>
          <w:szCs w:val="24"/>
        </w:rPr>
        <w:t xml:space="preserve">offending </w:t>
      </w:r>
      <w:r w:rsidR="00F05920" w:rsidRPr="00444C5E">
        <w:rPr>
          <w:rFonts w:ascii="Book Antiqua" w:hAnsi="Book Antiqua"/>
          <w:szCs w:val="24"/>
        </w:rPr>
        <w:t xml:space="preserve">in respect of </w:t>
      </w:r>
      <w:r w:rsidR="00991325" w:rsidRPr="00444C5E">
        <w:rPr>
          <w:rFonts w:ascii="Book Antiqua" w:hAnsi="Book Antiqua"/>
          <w:szCs w:val="24"/>
        </w:rPr>
        <w:t>murder, non-domestic violence related assault, robbery with a weapon not a firearm, and malicious damage remained stable</w:t>
      </w:r>
      <w:r w:rsidR="00070F4C" w:rsidRPr="00444C5E">
        <w:rPr>
          <w:rFonts w:ascii="Book Antiqua" w:hAnsi="Book Antiqua"/>
          <w:szCs w:val="24"/>
        </w:rPr>
        <w:t>.  More notably, offending in respect of 60% of other major offences decreased significantly.</w:t>
      </w:r>
      <w:r w:rsidR="008D2735" w:rsidRPr="00444C5E">
        <w:rPr>
          <w:rStyle w:val="FootnoteReference"/>
          <w:rFonts w:ascii="Book Antiqua" w:hAnsi="Book Antiqua"/>
          <w:szCs w:val="24"/>
        </w:rPr>
        <w:footnoteReference w:id="11"/>
      </w:r>
    </w:p>
    <w:p w14:paraId="2E90997F" w14:textId="1BD791EF" w:rsidR="00A84E6A" w:rsidRPr="007B7CF0" w:rsidRDefault="00AD5E83" w:rsidP="007B7CF0">
      <w:pPr>
        <w:pStyle w:val="NumParra"/>
        <w:jc w:val="both"/>
        <w:rPr>
          <w:rFonts w:ascii="Book Antiqua" w:hAnsi="Book Antiqua" w:cs="Arial"/>
          <w:szCs w:val="24"/>
        </w:rPr>
      </w:pPr>
      <w:r>
        <w:rPr>
          <w:rFonts w:ascii="Book Antiqua" w:hAnsi="Book Antiqua"/>
          <w:szCs w:val="24"/>
        </w:rPr>
        <w:t>The principal legislative response to d</w:t>
      </w:r>
      <w:r w:rsidR="00C87F91" w:rsidRPr="007B7CF0">
        <w:rPr>
          <w:rFonts w:ascii="Book Antiqua" w:hAnsi="Book Antiqua"/>
          <w:szCs w:val="24"/>
        </w:rPr>
        <w:t xml:space="preserve">omestic </w:t>
      </w:r>
      <w:r w:rsidR="00A84E6A" w:rsidRPr="007B7CF0">
        <w:rPr>
          <w:rFonts w:ascii="Book Antiqua" w:hAnsi="Book Antiqua"/>
          <w:szCs w:val="24"/>
        </w:rPr>
        <w:t>violence</w:t>
      </w:r>
      <w:r w:rsidR="009C1F8C">
        <w:rPr>
          <w:rFonts w:ascii="Book Antiqua" w:hAnsi="Book Antiqua"/>
          <w:szCs w:val="24"/>
        </w:rPr>
        <w:t xml:space="preserve"> </w:t>
      </w:r>
      <w:r>
        <w:rPr>
          <w:rFonts w:ascii="Book Antiqua" w:hAnsi="Book Antiqua"/>
          <w:szCs w:val="24"/>
        </w:rPr>
        <w:t>seeks, in the first instance, to be protective</w:t>
      </w:r>
      <w:r w:rsidR="002D0342">
        <w:rPr>
          <w:rFonts w:ascii="Book Antiqua" w:hAnsi="Book Antiqua"/>
          <w:szCs w:val="24"/>
        </w:rPr>
        <w:t xml:space="preserve">: see the </w:t>
      </w:r>
      <w:r w:rsidR="002D0342" w:rsidRPr="00E82744">
        <w:rPr>
          <w:rFonts w:ascii="Book Antiqua" w:hAnsi="Book Antiqua"/>
          <w:i/>
          <w:iCs/>
          <w:szCs w:val="24"/>
        </w:rPr>
        <w:t>Crimes (Domestic and Personal Violence) Act 200</w:t>
      </w:r>
      <w:r w:rsidR="002D0342">
        <w:rPr>
          <w:rFonts w:ascii="Book Antiqua" w:hAnsi="Book Antiqua"/>
          <w:i/>
          <w:iCs/>
          <w:szCs w:val="24"/>
        </w:rPr>
        <w:t xml:space="preserve">7.   </w:t>
      </w:r>
      <w:r w:rsidR="002D0342">
        <w:rPr>
          <w:rFonts w:ascii="Book Antiqua" w:hAnsi="Book Antiqua"/>
          <w:szCs w:val="24"/>
        </w:rPr>
        <w:t>This is undoubtedly</w:t>
      </w:r>
      <w:r w:rsidR="009C6212">
        <w:rPr>
          <w:rFonts w:ascii="Book Antiqua" w:hAnsi="Book Antiqua"/>
          <w:szCs w:val="24"/>
        </w:rPr>
        <w:t xml:space="preserve"> due to </w:t>
      </w:r>
      <w:r w:rsidR="00C87F91" w:rsidRPr="007B7CF0">
        <w:rPr>
          <w:rFonts w:ascii="Book Antiqua" w:hAnsi="Book Antiqua"/>
          <w:szCs w:val="24"/>
        </w:rPr>
        <w:t xml:space="preserve">the nuances of domestic relationships and the difficulties of </w:t>
      </w:r>
      <w:r w:rsidR="005F27E3">
        <w:rPr>
          <w:rFonts w:ascii="Book Antiqua" w:hAnsi="Book Antiqua"/>
          <w:szCs w:val="24"/>
        </w:rPr>
        <w:t>their policing</w:t>
      </w:r>
      <w:r w:rsidR="00C87F91" w:rsidRPr="007B7CF0">
        <w:rPr>
          <w:rFonts w:ascii="Book Antiqua" w:hAnsi="Book Antiqua"/>
          <w:szCs w:val="24"/>
        </w:rPr>
        <w:t>.  However, the</w:t>
      </w:r>
      <w:r w:rsidR="00972BA6">
        <w:rPr>
          <w:rFonts w:ascii="Book Antiqua" w:hAnsi="Book Antiqua"/>
          <w:szCs w:val="24"/>
        </w:rPr>
        <w:t>ir</w:t>
      </w:r>
      <w:r w:rsidR="00C87F91" w:rsidRPr="007B7CF0">
        <w:rPr>
          <w:rFonts w:ascii="Book Antiqua" w:hAnsi="Book Antiqua"/>
          <w:szCs w:val="24"/>
        </w:rPr>
        <w:t xml:space="preserve"> of</w:t>
      </w:r>
      <w:r w:rsidR="00B1715A">
        <w:rPr>
          <w:rFonts w:ascii="Book Antiqua" w:hAnsi="Book Antiqua"/>
          <w:szCs w:val="24"/>
        </w:rPr>
        <w:t xml:space="preserve">t </w:t>
      </w:r>
      <w:r w:rsidR="00C87F91" w:rsidRPr="007B7CF0">
        <w:rPr>
          <w:rFonts w:ascii="Book Antiqua" w:hAnsi="Book Antiqua"/>
          <w:szCs w:val="24"/>
        </w:rPr>
        <w:t>encountered crossover into criminal conduct, evidenced by 29 deaths in NSW attributed to domestic violence in 2020</w:t>
      </w:r>
      <w:r w:rsidR="006F11BE" w:rsidRPr="00161E75">
        <w:rPr>
          <w:rFonts w:ascii="Book Antiqua" w:hAnsi="Book Antiqua"/>
          <w:szCs w:val="24"/>
        </w:rPr>
        <w:t>,</w:t>
      </w:r>
      <w:r w:rsidR="00324F67" w:rsidRPr="00161E75">
        <w:rPr>
          <w:rStyle w:val="FootnoteReference"/>
          <w:rFonts w:ascii="Book Antiqua" w:hAnsi="Book Antiqua"/>
          <w:szCs w:val="24"/>
        </w:rPr>
        <w:footnoteReference w:id="12"/>
      </w:r>
      <w:r w:rsidR="00C87F91" w:rsidRPr="00161E75">
        <w:rPr>
          <w:rFonts w:ascii="Book Antiqua" w:hAnsi="Book Antiqua"/>
          <w:szCs w:val="24"/>
        </w:rPr>
        <w:t xml:space="preserve"> </w:t>
      </w:r>
      <w:r w:rsidR="00B92D56">
        <w:rPr>
          <w:rFonts w:ascii="Book Antiqua" w:hAnsi="Book Antiqua"/>
          <w:szCs w:val="24"/>
        </w:rPr>
        <w:t xml:space="preserve">is a signal of a problem </w:t>
      </w:r>
      <w:r w:rsidR="00E84770">
        <w:rPr>
          <w:rFonts w:ascii="Book Antiqua" w:hAnsi="Book Antiqua"/>
          <w:szCs w:val="24"/>
        </w:rPr>
        <w:t>that cannot merely be described as ‘serious’</w:t>
      </w:r>
      <w:r w:rsidR="00C87F91" w:rsidRPr="00A205B2">
        <w:rPr>
          <w:rFonts w:ascii="Book Antiqua" w:hAnsi="Book Antiqua"/>
          <w:szCs w:val="24"/>
        </w:rPr>
        <w:t>.</w:t>
      </w:r>
      <w:r w:rsidR="00C87F91" w:rsidRPr="007B7CF0">
        <w:rPr>
          <w:rFonts w:ascii="Book Antiqua" w:hAnsi="Book Antiqua"/>
          <w:szCs w:val="24"/>
        </w:rPr>
        <w:t xml:space="preserve"> </w:t>
      </w:r>
      <w:r w:rsidR="00DD06D6">
        <w:rPr>
          <w:rFonts w:ascii="Book Antiqua" w:hAnsi="Book Antiqua"/>
          <w:szCs w:val="24"/>
        </w:rPr>
        <w:t xml:space="preserve"> </w:t>
      </w:r>
      <w:r w:rsidR="00C87F91" w:rsidRPr="007B7CF0">
        <w:rPr>
          <w:rFonts w:ascii="Book Antiqua" w:hAnsi="Book Antiqua"/>
          <w:szCs w:val="24"/>
        </w:rPr>
        <w:t xml:space="preserve">There is, as stated in </w:t>
      </w:r>
      <w:r w:rsidR="00A205B2">
        <w:rPr>
          <w:rFonts w:ascii="Book Antiqua" w:hAnsi="Book Antiqua"/>
          <w:szCs w:val="24"/>
        </w:rPr>
        <w:t>the</w:t>
      </w:r>
      <w:r w:rsidR="00156288">
        <w:rPr>
          <w:rFonts w:ascii="Book Antiqua" w:hAnsi="Book Antiqua"/>
          <w:szCs w:val="24"/>
        </w:rPr>
        <w:t xml:space="preserve"> </w:t>
      </w:r>
      <w:r w:rsidR="00E15021">
        <w:rPr>
          <w:rFonts w:ascii="Book Antiqua" w:hAnsi="Book Antiqua"/>
          <w:szCs w:val="24"/>
        </w:rPr>
        <w:t>recent</w:t>
      </w:r>
      <w:r w:rsidR="00C87F91" w:rsidRPr="007B7CF0">
        <w:rPr>
          <w:rFonts w:ascii="Book Antiqua" w:hAnsi="Book Antiqua"/>
          <w:szCs w:val="24"/>
        </w:rPr>
        <w:t xml:space="preserve"> Report on Coercive Control in Domestic Relationships</w:t>
      </w:r>
      <w:r w:rsidR="002F718A">
        <w:rPr>
          <w:rFonts w:ascii="Book Antiqua" w:hAnsi="Book Antiqua"/>
          <w:szCs w:val="24"/>
        </w:rPr>
        <w:t>,</w:t>
      </w:r>
      <w:r w:rsidR="00C87F91" w:rsidRPr="007B7CF0">
        <w:rPr>
          <w:rFonts w:ascii="Book Antiqua" w:hAnsi="Book Antiqua"/>
          <w:szCs w:val="24"/>
        </w:rPr>
        <w:t xml:space="preserve"> a </w:t>
      </w:r>
      <w:r w:rsidR="00495D20">
        <w:rPr>
          <w:rFonts w:ascii="Book Antiqua" w:hAnsi="Book Antiqua"/>
          <w:szCs w:val="24"/>
        </w:rPr>
        <w:t>‘</w:t>
      </w:r>
      <w:r w:rsidR="00C87F91" w:rsidRPr="007B7CF0">
        <w:rPr>
          <w:rFonts w:ascii="Book Antiqua" w:hAnsi="Book Antiqua"/>
          <w:szCs w:val="24"/>
        </w:rPr>
        <w:t>pandemic of domestic abuse</w:t>
      </w:r>
      <w:r w:rsidR="00495D20">
        <w:rPr>
          <w:rFonts w:ascii="Book Antiqua" w:hAnsi="Book Antiqua"/>
          <w:szCs w:val="24"/>
        </w:rPr>
        <w:t>’</w:t>
      </w:r>
      <w:r w:rsidR="00C87F91" w:rsidRPr="007B7CF0">
        <w:rPr>
          <w:rFonts w:ascii="Book Antiqua" w:hAnsi="Book Antiqua"/>
          <w:szCs w:val="24"/>
        </w:rPr>
        <w:t>.</w:t>
      </w:r>
      <w:r w:rsidR="00156288">
        <w:rPr>
          <w:rStyle w:val="FootnoteReference"/>
          <w:rFonts w:ascii="Book Antiqua" w:hAnsi="Book Antiqua"/>
          <w:szCs w:val="24"/>
        </w:rPr>
        <w:footnoteReference w:id="13"/>
      </w:r>
    </w:p>
    <w:p w14:paraId="02015706" w14:textId="40E6966E" w:rsidR="002B18ED" w:rsidRDefault="00756302" w:rsidP="007B7CF0">
      <w:pPr>
        <w:pStyle w:val="NumParra"/>
        <w:jc w:val="both"/>
        <w:rPr>
          <w:rFonts w:ascii="Book Antiqua" w:hAnsi="Book Antiqua" w:cs="Arial"/>
          <w:szCs w:val="24"/>
        </w:rPr>
      </w:pPr>
      <w:r w:rsidRPr="007B7CF0">
        <w:rPr>
          <w:rFonts w:ascii="Book Antiqua" w:hAnsi="Book Antiqua" w:cs="Arial"/>
          <w:szCs w:val="24"/>
        </w:rPr>
        <w:t xml:space="preserve">These figures demonstrate that there is a </w:t>
      </w:r>
      <w:r w:rsidR="00A205B2" w:rsidRPr="007B7CF0">
        <w:rPr>
          <w:rFonts w:ascii="Book Antiqua" w:hAnsi="Book Antiqua" w:cs="Arial"/>
          <w:szCs w:val="24"/>
        </w:rPr>
        <w:t>grave</w:t>
      </w:r>
      <w:r w:rsidRPr="007B7CF0">
        <w:rPr>
          <w:rFonts w:ascii="Book Antiqua" w:hAnsi="Book Antiqua" w:cs="Arial"/>
          <w:szCs w:val="24"/>
        </w:rPr>
        <w:t xml:space="preserve"> problem with both sexual assault and domestic violence</w:t>
      </w:r>
      <w:r w:rsidR="00A205B2">
        <w:rPr>
          <w:rFonts w:ascii="Book Antiqua" w:hAnsi="Book Antiqua" w:cs="Arial"/>
          <w:szCs w:val="24"/>
        </w:rPr>
        <w:t>,</w:t>
      </w:r>
      <w:r w:rsidRPr="007B7CF0">
        <w:rPr>
          <w:rFonts w:ascii="Book Antiqua" w:hAnsi="Book Antiqua" w:cs="Arial"/>
          <w:szCs w:val="24"/>
        </w:rPr>
        <w:t xml:space="preserve"> and it goes without saying that the individual </w:t>
      </w:r>
      <w:r w:rsidRPr="007B7CF0">
        <w:rPr>
          <w:rFonts w:ascii="Book Antiqua" w:hAnsi="Book Antiqua" w:cs="Arial"/>
          <w:szCs w:val="24"/>
        </w:rPr>
        <w:lastRenderedPageBreak/>
        <w:t>and wider social consequences are significan</w:t>
      </w:r>
      <w:r w:rsidRPr="00873DFD">
        <w:rPr>
          <w:rFonts w:ascii="Book Antiqua" w:hAnsi="Book Antiqua" w:cs="Arial"/>
          <w:szCs w:val="24"/>
        </w:rPr>
        <w:t xml:space="preserve">t.  Accepting that to be so, </w:t>
      </w:r>
      <w:r w:rsidR="00066E62">
        <w:rPr>
          <w:rFonts w:ascii="Book Antiqua" w:hAnsi="Book Antiqua" w:cs="Arial"/>
          <w:szCs w:val="24"/>
        </w:rPr>
        <w:t>I</w:t>
      </w:r>
      <w:r w:rsidR="00FA4E83">
        <w:rPr>
          <w:rFonts w:ascii="Book Antiqua" w:hAnsi="Book Antiqua" w:cs="Arial"/>
          <w:szCs w:val="24"/>
        </w:rPr>
        <w:t xml:space="preserve"> </w:t>
      </w:r>
      <w:r w:rsidR="00066E62">
        <w:rPr>
          <w:rFonts w:ascii="Book Antiqua" w:hAnsi="Book Antiqua" w:cs="Arial"/>
          <w:szCs w:val="24"/>
        </w:rPr>
        <w:t xml:space="preserve">begin this paper </w:t>
      </w:r>
      <w:r w:rsidR="00780CFF">
        <w:rPr>
          <w:rFonts w:ascii="Book Antiqua" w:hAnsi="Book Antiqua" w:cs="Arial"/>
          <w:szCs w:val="24"/>
        </w:rPr>
        <w:t xml:space="preserve">with a </w:t>
      </w:r>
      <w:r w:rsidR="00A97E98">
        <w:rPr>
          <w:rFonts w:ascii="Book Antiqua" w:hAnsi="Book Antiqua" w:cs="Arial"/>
          <w:szCs w:val="24"/>
        </w:rPr>
        <w:t>re</w:t>
      </w:r>
      <w:r w:rsidR="002B3922">
        <w:rPr>
          <w:rFonts w:ascii="Book Antiqua" w:hAnsi="Book Antiqua" w:cs="Arial"/>
          <w:szCs w:val="24"/>
        </w:rPr>
        <w:t>fere</w:t>
      </w:r>
      <w:r w:rsidR="00A97E98">
        <w:rPr>
          <w:rFonts w:ascii="Book Antiqua" w:hAnsi="Book Antiqua" w:cs="Arial"/>
          <w:szCs w:val="24"/>
        </w:rPr>
        <w:t xml:space="preserve">nce to </w:t>
      </w:r>
      <w:r w:rsidR="00780CFF">
        <w:rPr>
          <w:rFonts w:ascii="Book Antiqua" w:hAnsi="Book Antiqua" w:cs="Arial"/>
          <w:szCs w:val="24"/>
        </w:rPr>
        <w:t>a</w:t>
      </w:r>
      <w:r w:rsidR="005372C4">
        <w:rPr>
          <w:rFonts w:ascii="Book Antiqua" w:hAnsi="Book Antiqua" w:cs="Arial"/>
          <w:szCs w:val="24"/>
        </w:rPr>
        <w:t xml:space="preserve"> </w:t>
      </w:r>
      <w:r w:rsidR="00780CFF">
        <w:rPr>
          <w:rFonts w:ascii="Book Antiqua" w:hAnsi="Book Antiqua" w:cs="Arial"/>
          <w:szCs w:val="24"/>
        </w:rPr>
        <w:t xml:space="preserve">story. </w:t>
      </w:r>
    </w:p>
    <w:p w14:paraId="51E064F1" w14:textId="73529DD3" w:rsidR="00AF1301" w:rsidRDefault="00B8163D" w:rsidP="007071B1">
      <w:pPr>
        <w:pStyle w:val="NumParra"/>
        <w:jc w:val="both"/>
        <w:rPr>
          <w:rFonts w:ascii="Book Antiqua" w:hAnsi="Book Antiqua" w:cs="Arial"/>
          <w:szCs w:val="24"/>
        </w:rPr>
      </w:pPr>
      <w:r>
        <w:rPr>
          <w:rFonts w:ascii="Book Antiqua" w:hAnsi="Book Antiqua" w:cs="Arial"/>
          <w:szCs w:val="24"/>
        </w:rPr>
        <w:t>Tarana</w:t>
      </w:r>
      <w:r w:rsidRPr="007B7CF0">
        <w:rPr>
          <w:rFonts w:ascii="Book Antiqua" w:hAnsi="Book Antiqua" w:cs="Arial"/>
          <w:szCs w:val="24"/>
        </w:rPr>
        <w:t xml:space="preserve"> </w:t>
      </w:r>
      <w:r w:rsidR="006F11BE" w:rsidRPr="007B7CF0">
        <w:rPr>
          <w:rFonts w:ascii="Book Antiqua" w:hAnsi="Book Antiqua" w:cs="Arial"/>
          <w:szCs w:val="24"/>
        </w:rPr>
        <w:t>Burke</w:t>
      </w:r>
      <w:r w:rsidR="00D30104">
        <w:rPr>
          <w:rFonts w:ascii="Book Antiqua" w:hAnsi="Book Antiqua" w:cs="Arial"/>
          <w:szCs w:val="24"/>
        </w:rPr>
        <w:t xml:space="preserve">, founder of the </w:t>
      </w:r>
      <w:r w:rsidR="002B18ED" w:rsidRPr="00D47EEA">
        <w:rPr>
          <w:rFonts w:ascii="Book Antiqua" w:hAnsi="Book Antiqua" w:cs="Arial"/>
          <w:i/>
          <w:iCs/>
          <w:szCs w:val="24"/>
        </w:rPr>
        <w:t>#</w:t>
      </w:r>
      <w:r w:rsidR="00D30104" w:rsidRPr="00161E75">
        <w:rPr>
          <w:rFonts w:ascii="Book Antiqua" w:hAnsi="Book Antiqua" w:cs="Arial"/>
          <w:i/>
          <w:iCs/>
          <w:szCs w:val="24"/>
        </w:rPr>
        <w:t>MeToo</w:t>
      </w:r>
      <w:r w:rsidR="00D30104">
        <w:rPr>
          <w:rFonts w:ascii="Book Antiqua" w:hAnsi="Book Antiqua" w:cs="Arial"/>
          <w:szCs w:val="24"/>
        </w:rPr>
        <w:t xml:space="preserve"> Movement, </w:t>
      </w:r>
      <w:r w:rsidR="002B18ED">
        <w:rPr>
          <w:rFonts w:ascii="Book Antiqua" w:hAnsi="Book Antiqua" w:cs="Arial"/>
          <w:szCs w:val="24"/>
        </w:rPr>
        <w:t>was the Time Magazine Person of the Year in 2017.</w:t>
      </w:r>
      <w:r w:rsidR="00753A41">
        <w:rPr>
          <w:rFonts w:ascii="Book Antiqua" w:hAnsi="Book Antiqua" w:cs="Arial"/>
          <w:szCs w:val="24"/>
        </w:rPr>
        <w:t xml:space="preserve"> Her </w:t>
      </w:r>
      <w:r w:rsidR="00753A41" w:rsidRPr="00161E75">
        <w:rPr>
          <w:rFonts w:ascii="Book Antiqua" w:hAnsi="Book Antiqua" w:cs="Arial"/>
          <w:i/>
          <w:iCs/>
          <w:szCs w:val="24"/>
        </w:rPr>
        <w:t>#MeToo</w:t>
      </w:r>
      <w:r w:rsidR="00753A41" w:rsidRPr="00D47EEA">
        <w:rPr>
          <w:rFonts w:ascii="Book Antiqua" w:hAnsi="Book Antiqua" w:cs="Arial"/>
          <w:szCs w:val="24"/>
        </w:rPr>
        <w:t xml:space="preserve"> </w:t>
      </w:r>
      <w:r w:rsidR="00753A41">
        <w:rPr>
          <w:rFonts w:ascii="Book Antiqua" w:hAnsi="Book Antiqua" w:cs="Arial"/>
          <w:szCs w:val="24"/>
        </w:rPr>
        <w:t>hashtag has been used more than 19 million times.</w:t>
      </w:r>
      <w:r w:rsidR="002B18ED">
        <w:rPr>
          <w:rFonts w:ascii="Book Antiqua" w:hAnsi="Book Antiqua" w:cs="Arial"/>
          <w:szCs w:val="24"/>
        </w:rPr>
        <w:t xml:space="preserve"> </w:t>
      </w:r>
      <w:r w:rsidR="00A60E53" w:rsidRPr="007B7CF0">
        <w:rPr>
          <w:rFonts w:ascii="Book Antiqua" w:hAnsi="Book Antiqua" w:cs="Arial"/>
          <w:szCs w:val="24"/>
        </w:rPr>
        <w:t xml:space="preserve">The founding date of the Movement is sourced back to </w:t>
      </w:r>
      <w:r w:rsidR="0081756A">
        <w:rPr>
          <w:rFonts w:ascii="Book Antiqua" w:hAnsi="Book Antiqua" w:cs="Arial"/>
          <w:szCs w:val="24"/>
        </w:rPr>
        <w:t>around</w:t>
      </w:r>
      <w:r w:rsidR="00A60E53" w:rsidRPr="007B7CF0">
        <w:rPr>
          <w:rFonts w:ascii="Book Antiqua" w:hAnsi="Book Antiqua" w:cs="Arial"/>
          <w:szCs w:val="24"/>
        </w:rPr>
        <w:t xml:space="preserve"> 2007, but it was an experience 11 years earlier, in 1996, that was the trigger for her to establish</w:t>
      </w:r>
      <w:r w:rsidR="008A3FA7">
        <w:rPr>
          <w:rFonts w:ascii="Book Antiqua" w:hAnsi="Book Antiqua" w:cs="Arial"/>
          <w:szCs w:val="24"/>
        </w:rPr>
        <w:t xml:space="preserve"> </w:t>
      </w:r>
      <w:proofErr w:type="spellStart"/>
      <w:r w:rsidR="008A3FA7">
        <w:rPr>
          <w:rFonts w:ascii="Book Antiqua" w:hAnsi="Book Antiqua" w:cs="Arial"/>
          <w:i/>
          <w:iCs/>
          <w:szCs w:val="24"/>
        </w:rPr>
        <w:t>JustBe</w:t>
      </w:r>
      <w:proofErr w:type="spellEnd"/>
      <w:r w:rsidR="008A3FA7">
        <w:rPr>
          <w:rFonts w:ascii="Book Antiqua" w:hAnsi="Book Antiqua" w:cs="Arial"/>
          <w:szCs w:val="24"/>
        </w:rPr>
        <w:t>, a</w:t>
      </w:r>
      <w:r w:rsidR="00A60E53" w:rsidRPr="007B7CF0">
        <w:rPr>
          <w:rFonts w:ascii="Book Antiqua" w:hAnsi="Book Antiqua" w:cs="Arial"/>
          <w:szCs w:val="24"/>
        </w:rPr>
        <w:t xml:space="preserve"> not</w:t>
      </w:r>
      <w:r w:rsidR="00A60E53">
        <w:rPr>
          <w:rFonts w:ascii="Book Antiqua" w:hAnsi="Book Antiqua" w:cs="Arial"/>
          <w:szCs w:val="24"/>
        </w:rPr>
        <w:t>-</w:t>
      </w:r>
      <w:r w:rsidR="00A60E53" w:rsidRPr="007B7CF0">
        <w:rPr>
          <w:rFonts w:ascii="Book Antiqua" w:hAnsi="Book Antiqua" w:cs="Arial"/>
          <w:szCs w:val="24"/>
        </w:rPr>
        <w:t>for</w:t>
      </w:r>
      <w:r w:rsidR="00A60E53">
        <w:rPr>
          <w:rFonts w:ascii="Book Antiqua" w:hAnsi="Book Antiqua" w:cs="Arial"/>
          <w:szCs w:val="24"/>
        </w:rPr>
        <w:t>-</w:t>
      </w:r>
      <w:r w:rsidR="00A60E53" w:rsidRPr="007B7CF0">
        <w:rPr>
          <w:rFonts w:ascii="Book Antiqua" w:hAnsi="Book Antiqua" w:cs="Arial"/>
          <w:szCs w:val="24"/>
        </w:rPr>
        <w:t>profit foundation for young African American women.</w:t>
      </w:r>
      <w:r w:rsidR="007071B1">
        <w:rPr>
          <w:rFonts w:ascii="Book Antiqua" w:hAnsi="Book Antiqua" w:cs="Arial"/>
          <w:szCs w:val="24"/>
        </w:rPr>
        <w:t xml:space="preserve"> </w:t>
      </w:r>
    </w:p>
    <w:p w14:paraId="75432456" w14:textId="79388BB8" w:rsidR="00A84E6A" w:rsidRDefault="005372C4" w:rsidP="00D63820">
      <w:pPr>
        <w:pStyle w:val="NumParra"/>
        <w:jc w:val="both"/>
        <w:rPr>
          <w:rFonts w:ascii="Book Antiqua" w:hAnsi="Book Antiqua" w:cs="Arial"/>
          <w:szCs w:val="24"/>
        </w:rPr>
      </w:pPr>
      <w:r>
        <w:rPr>
          <w:rFonts w:ascii="Book Antiqua" w:hAnsi="Book Antiqua" w:cs="Arial"/>
          <w:szCs w:val="24"/>
        </w:rPr>
        <w:t xml:space="preserve">The </w:t>
      </w:r>
      <w:r w:rsidR="009D6400">
        <w:rPr>
          <w:rFonts w:ascii="Book Antiqua" w:hAnsi="Book Antiqua" w:cs="Arial"/>
          <w:szCs w:val="24"/>
        </w:rPr>
        <w:t xml:space="preserve">1996 </w:t>
      </w:r>
      <w:r>
        <w:rPr>
          <w:rFonts w:ascii="Book Antiqua" w:hAnsi="Book Antiqua" w:cs="Arial"/>
          <w:szCs w:val="24"/>
        </w:rPr>
        <w:t xml:space="preserve">experience </w:t>
      </w:r>
      <w:r w:rsidR="007071B1" w:rsidRPr="007B7CF0">
        <w:rPr>
          <w:rFonts w:ascii="Book Antiqua" w:hAnsi="Book Antiqua" w:cs="Arial"/>
          <w:szCs w:val="24"/>
        </w:rPr>
        <w:t xml:space="preserve">involved an occasion when a young woman at a youth camp came to talk to </w:t>
      </w:r>
      <w:r w:rsidR="009632C9">
        <w:rPr>
          <w:rFonts w:ascii="Book Antiqua" w:hAnsi="Book Antiqua" w:cs="Arial"/>
          <w:szCs w:val="24"/>
        </w:rPr>
        <w:t>her</w:t>
      </w:r>
      <w:r w:rsidR="007071B1" w:rsidRPr="007B7CF0">
        <w:rPr>
          <w:rFonts w:ascii="Book Antiqua" w:hAnsi="Book Antiqua" w:cs="Arial"/>
          <w:szCs w:val="24"/>
        </w:rPr>
        <w:t xml:space="preserve"> about sexual abuse to which </w:t>
      </w:r>
      <w:r w:rsidR="009D6400">
        <w:rPr>
          <w:rFonts w:ascii="Book Antiqua" w:hAnsi="Book Antiqua" w:cs="Arial"/>
          <w:szCs w:val="24"/>
        </w:rPr>
        <w:t xml:space="preserve">the young woman </w:t>
      </w:r>
      <w:r w:rsidR="00DC719C">
        <w:rPr>
          <w:rFonts w:ascii="Book Antiqua" w:hAnsi="Book Antiqua" w:cs="Arial"/>
          <w:szCs w:val="24"/>
        </w:rPr>
        <w:t xml:space="preserve">had </w:t>
      </w:r>
      <w:r w:rsidR="007071B1" w:rsidRPr="007B7CF0">
        <w:rPr>
          <w:rFonts w:ascii="Book Antiqua" w:hAnsi="Book Antiqua" w:cs="Arial"/>
          <w:szCs w:val="24"/>
        </w:rPr>
        <w:t xml:space="preserve">been subjected. </w:t>
      </w:r>
      <w:r w:rsidR="006F11BE" w:rsidRPr="007071B1">
        <w:rPr>
          <w:rFonts w:ascii="Book Antiqua" w:hAnsi="Book Antiqua" w:cs="Arial"/>
          <w:szCs w:val="24"/>
        </w:rPr>
        <w:t xml:space="preserve">  </w:t>
      </w:r>
      <w:r w:rsidR="00AF1301" w:rsidRPr="007B7CF0">
        <w:rPr>
          <w:rFonts w:ascii="Book Antiqua" w:hAnsi="Book Antiqua" w:cs="Arial"/>
          <w:szCs w:val="24"/>
        </w:rPr>
        <w:t xml:space="preserve">Having given the young woman what </w:t>
      </w:r>
      <w:r w:rsidR="00495D20">
        <w:rPr>
          <w:rFonts w:ascii="Book Antiqua" w:hAnsi="Book Antiqua" w:cs="Arial"/>
          <w:szCs w:val="24"/>
        </w:rPr>
        <w:t>comfort</w:t>
      </w:r>
      <w:r w:rsidR="00AF1301" w:rsidRPr="007B7CF0">
        <w:rPr>
          <w:rFonts w:ascii="Book Antiqua" w:hAnsi="Book Antiqua" w:cs="Arial"/>
          <w:szCs w:val="24"/>
        </w:rPr>
        <w:t xml:space="preserve"> and advice she thought appropriate, </w:t>
      </w:r>
      <w:r w:rsidR="00B8163D">
        <w:rPr>
          <w:rFonts w:ascii="Book Antiqua" w:hAnsi="Book Antiqua" w:cs="Arial"/>
          <w:szCs w:val="24"/>
        </w:rPr>
        <w:t>Tarana</w:t>
      </w:r>
      <w:r w:rsidR="00AF1301" w:rsidRPr="007B7CF0">
        <w:rPr>
          <w:rFonts w:ascii="Book Antiqua" w:hAnsi="Book Antiqua" w:cs="Arial"/>
          <w:szCs w:val="24"/>
        </w:rPr>
        <w:t xml:space="preserve"> later wondered why she had</w:t>
      </w:r>
      <w:r w:rsidR="00F729A1">
        <w:rPr>
          <w:rFonts w:ascii="Book Antiqua" w:hAnsi="Book Antiqua" w:cs="Arial"/>
          <w:szCs w:val="24"/>
        </w:rPr>
        <w:t xml:space="preserve"> no</w:t>
      </w:r>
      <w:r w:rsidR="00AF1301" w:rsidRPr="007B7CF0">
        <w:rPr>
          <w:rFonts w:ascii="Book Antiqua" w:hAnsi="Book Antiqua" w:cs="Arial"/>
          <w:szCs w:val="24"/>
        </w:rPr>
        <w:t xml:space="preserve">t simply said to </w:t>
      </w:r>
      <w:r w:rsidR="00DC719C">
        <w:rPr>
          <w:rFonts w:ascii="Book Antiqua" w:hAnsi="Book Antiqua" w:cs="Arial"/>
          <w:szCs w:val="24"/>
        </w:rPr>
        <w:t>her</w:t>
      </w:r>
      <w:r w:rsidR="00F729A1">
        <w:rPr>
          <w:rFonts w:ascii="Book Antiqua" w:hAnsi="Book Antiqua" w:cs="Arial"/>
          <w:szCs w:val="24"/>
        </w:rPr>
        <w:t>,</w:t>
      </w:r>
      <w:r w:rsidR="00AF1301" w:rsidRPr="007B7CF0">
        <w:rPr>
          <w:rFonts w:ascii="Book Antiqua" w:hAnsi="Book Antiqua" w:cs="Arial"/>
          <w:szCs w:val="24"/>
        </w:rPr>
        <w:t xml:space="preserve"> ‘</w:t>
      </w:r>
      <w:r w:rsidR="00F729A1">
        <w:rPr>
          <w:rFonts w:ascii="Book Antiqua" w:hAnsi="Book Antiqua" w:cs="Arial"/>
          <w:szCs w:val="24"/>
        </w:rPr>
        <w:t>M</w:t>
      </w:r>
      <w:r w:rsidR="00AF1301" w:rsidRPr="007B7CF0">
        <w:rPr>
          <w:rFonts w:ascii="Book Antiqua" w:hAnsi="Book Antiqua" w:cs="Arial"/>
          <w:szCs w:val="24"/>
        </w:rPr>
        <w:t xml:space="preserve">e </w:t>
      </w:r>
      <w:r w:rsidR="00F729A1">
        <w:rPr>
          <w:rFonts w:ascii="Book Antiqua" w:hAnsi="Book Antiqua" w:cs="Arial"/>
          <w:szCs w:val="24"/>
        </w:rPr>
        <w:t>t</w:t>
      </w:r>
      <w:r w:rsidR="00AF1301" w:rsidRPr="007B7CF0">
        <w:rPr>
          <w:rFonts w:ascii="Book Antiqua" w:hAnsi="Book Antiqua" w:cs="Arial"/>
          <w:szCs w:val="24"/>
        </w:rPr>
        <w:t xml:space="preserve">oo’.  That, she felt, was probably the </w:t>
      </w:r>
      <w:r w:rsidR="002B3922">
        <w:rPr>
          <w:rFonts w:ascii="Book Antiqua" w:hAnsi="Book Antiqua" w:cs="Arial"/>
          <w:szCs w:val="24"/>
        </w:rPr>
        <w:t>better</w:t>
      </w:r>
      <w:r w:rsidR="00AF1301" w:rsidRPr="007B7CF0">
        <w:rPr>
          <w:rFonts w:ascii="Book Antiqua" w:hAnsi="Book Antiqua" w:cs="Arial"/>
          <w:szCs w:val="24"/>
        </w:rPr>
        <w:t xml:space="preserve"> solace</w:t>
      </w:r>
      <w:r w:rsidR="00DC719C">
        <w:rPr>
          <w:rFonts w:ascii="Book Antiqua" w:hAnsi="Book Antiqua" w:cs="Arial"/>
          <w:szCs w:val="24"/>
        </w:rPr>
        <w:t xml:space="preserve"> and support</w:t>
      </w:r>
      <w:r w:rsidR="00AF1301" w:rsidRPr="007B7CF0">
        <w:rPr>
          <w:rFonts w:ascii="Book Antiqua" w:hAnsi="Book Antiqua" w:cs="Arial"/>
          <w:szCs w:val="24"/>
        </w:rPr>
        <w:t xml:space="preserve"> that she could have </w:t>
      </w:r>
      <w:r w:rsidR="00EE0B4D">
        <w:rPr>
          <w:rFonts w:ascii="Book Antiqua" w:hAnsi="Book Antiqua" w:cs="Arial"/>
          <w:szCs w:val="24"/>
        </w:rPr>
        <w:t>provided</w:t>
      </w:r>
      <w:r w:rsidR="00AF1301" w:rsidRPr="007B7CF0">
        <w:rPr>
          <w:rFonts w:ascii="Book Antiqua" w:hAnsi="Book Antiqua" w:cs="Arial"/>
          <w:szCs w:val="24"/>
        </w:rPr>
        <w:t xml:space="preserve">.  It was that phrase, ‘Me </w:t>
      </w:r>
      <w:r w:rsidR="00F729A1">
        <w:rPr>
          <w:rFonts w:ascii="Book Antiqua" w:hAnsi="Book Antiqua" w:cs="Arial"/>
          <w:szCs w:val="24"/>
        </w:rPr>
        <w:t>t</w:t>
      </w:r>
      <w:r w:rsidR="00AF1301" w:rsidRPr="007B7CF0">
        <w:rPr>
          <w:rFonts w:ascii="Book Antiqua" w:hAnsi="Book Antiqua" w:cs="Arial"/>
          <w:szCs w:val="24"/>
        </w:rPr>
        <w:t xml:space="preserve">oo’, that morphed into a worldwide phenomenon in 2017. </w:t>
      </w:r>
      <w:r w:rsidR="00595971">
        <w:rPr>
          <w:rFonts w:ascii="Book Antiqua" w:hAnsi="Book Antiqua" w:cs="Arial"/>
          <w:szCs w:val="24"/>
        </w:rPr>
        <w:t xml:space="preserve"> </w:t>
      </w:r>
      <w:r w:rsidR="006C7726">
        <w:rPr>
          <w:rFonts w:ascii="Book Antiqua" w:hAnsi="Book Antiqua" w:cs="Arial"/>
          <w:szCs w:val="24"/>
        </w:rPr>
        <w:t>Notably, w</w:t>
      </w:r>
      <w:r w:rsidR="00595971">
        <w:rPr>
          <w:rFonts w:ascii="Book Antiqua" w:hAnsi="Book Antiqua" w:cs="Arial"/>
          <w:szCs w:val="24"/>
        </w:rPr>
        <w:t>hen I met with Tarana</w:t>
      </w:r>
      <w:r w:rsidR="002B3922">
        <w:rPr>
          <w:rFonts w:ascii="Book Antiqua" w:hAnsi="Book Antiqua" w:cs="Arial"/>
          <w:szCs w:val="24"/>
        </w:rPr>
        <w:t xml:space="preserve"> Burke</w:t>
      </w:r>
      <w:r w:rsidR="00595971">
        <w:rPr>
          <w:rFonts w:ascii="Book Antiqua" w:hAnsi="Book Antiqua" w:cs="Arial"/>
          <w:szCs w:val="24"/>
        </w:rPr>
        <w:t xml:space="preserve"> in 2019, she explained to me</w:t>
      </w:r>
      <w:r w:rsidR="00EE0B4D">
        <w:rPr>
          <w:rFonts w:ascii="Book Antiqua" w:hAnsi="Book Antiqua" w:cs="Arial"/>
          <w:szCs w:val="24"/>
        </w:rPr>
        <w:t xml:space="preserve"> that</w:t>
      </w:r>
      <w:r w:rsidR="00AF1301" w:rsidRPr="00161E75">
        <w:rPr>
          <w:rFonts w:ascii="Book Antiqua" w:hAnsi="Book Antiqua" w:cs="Arial"/>
          <w:szCs w:val="24"/>
        </w:rPr>
        <w:t xml:space="preserve"> her concern and the work she has done in support of young women is </w:t>
      </w:r>
      <w:r w:rsidR="00000C08">
        <w:rPr>
          <w:rFonts w:ascii="Book Antiqua" w:hAnsi="Book Antiqua" w:cs="Arial"/>
          <w:szCs w:val="24"/>
        </w:rPr>
        <w:t>all</w:t>
      </w:r>
      <w:r w:rsidR="00AF1301" w:rsidRPr="00161E75">
        <w:rPr>
          <w:rFonts w:ascii="Book Antiqua" w:hAnsi="Book Antiqua" w:cs="Arial"/>
          <w:szCs w:val="24"/>
        </w:rPr>
        <w:t xml:space="preserve"> </w:t>
      </w:r>
      <w:r w:rsidR="00AF1301" w:rsidRPr="00624A48">
        <w:rPr>
          <w:rFonts w:ascii="Book Antiqua" w:hAnsi="Book Antiqua" w:cs="Arial"/>
          <w:szCs w:val="24"/>
        </w:rPr>
        <w:t xml:space="preserve">about </w:t>
      </w:r>
      <w:r w:rsidR="00000C08">
        <w:rPr>
          <w:rFonts w:ascii="Book Antiqua" w:hAnsi="Book Antiqua" w:cs="Arial"/>
          <w:szCs w:val="24"/>
        </w:rPr>
        <w:t>‘</w:t>
      </w:r>
      <w:r w:rsidR="00AF1301" w:rsidRPr="00624A48">
        <w:rPr>
          <w:rFonts w:ascii="Book Antiqua" w:hAnsi="Book Antiqua" w:cs="Arial"/>
          <w:szCs w:val="24"/>
        </w:rPr>
        <w:t xml:space="preserve">consent’. </w:t>
      </w:r>
    </w:p>
    <w:p w14:paraId="39F98B02" w14:textId="42638121" w:rsidR="003D64A0" w:rsidRPr="002B3922" w:rsidRDefault="008771AE" w:rsidP="002B3922">
      <w:pPr>
        <w:pStyle w:val="NumParra"/>
        <w:jc w:val="both"/>
        <w:rPr>
          <w:rFonts w:ascii="Book Antiqua" w:hAnsi="Book Antiqua" w:cs="Arial"/>
          <w:szCs w:val="24"/>
        </w:rPr>
      </w:pPr>
      <w:r>
        <w:rPr>
          <w:rFonts w:ascii="Book Antiqua" w:hAnsi="Book Antiqua" w:cs="Arial"/>
          <w:szCs w:val="24"/>
        </w:rPr>
        <w:t>This</w:t>
      </w:r>
      <w:r w:rsidR="003D64A0" w:rsidRPr="007B7CF0">
        <w:rPr>
          <w:rFonts w:ascii="Book Antiqua" w:hAnsi="Book Antiqua" w:cs="Arial"/>
          <w:szCs w:val="24"/>
        </w:rPr>
        <w:t xml:space="preserve"> </w:t>
      </w:r>
      <w:r>
        <w:rPr>
          <w:rFonts w:ascii="Book Antiqua" w:hAnsi="Book Antiqua" w:cs="Arial"/>
          <w:szCs w:val="24"/>
        </w:rPr>
        <w:t>story</w:t>
      </w:r>
      <w:r w:rsidRPr="007B7CF0">
        <w:rPr>
          <w:rFonts w:ascii="Book Antiqua" w:hAnsi="Book Antiqua" w:cs="Arial"/>
          <w:szCs w:val="24"/>
        </w:rPr>
        <w:t xml:space="preserve"> </w:t>
      </w:r>
      <w:r w:rsidR="003D64A0" w:rsidRPr="007B7CF0">
        <w:rPr>
          <w:rFonts w:ascii="Book Antiqua" w:hAnsi="Book Antiqua" w:cs="Arial"/>
          <w:szCs w:val="24"/>
        </w:rPr>
        <w:t>provide</w:t>
      </w:r>
      <w:r>
        <w:rPr>
          <w:rFonts w:ascii="Book Antiqua" w:hAnsi="Book Antiqua" w:cs="Arial"/>
          <w:szCs w:val="24"/>
        </w:rPr>
        <w:t>s</w:t>
      </w:r>
      <w:r w:rsidR="003D64A0" w:rsidRPr="007B7CF0">
        <w:rPr>
          <w:rFonts w:ascii="Book Antiqua" w:hAnsi="Book Antiqua" w:cs="Arial"/>
          <w:szCs w:val="24"/>
        </w:rPr>
        <w:t xml:space="preserve"> a perfect segue into the issues</w:t>
      </w:r>
      <w:r>
        <w:rPr>
          <w:rFonts w:ascii="Book Antiqua" w:hAnsi="Book Antiqua" w:cs="Arial"/>
          <w:szCs w:val="24"/>
        </w:rPr>
        <w:t xml:space="preserve"> of sexual assault and the proposed legislative changes to ‘consent</w:t>
      </w:r>
      <w:r w:rsidR="002B3922">
        <w:rPr>
          <w:rFonts w:ascii="Book Antiqua" w:hAnsi="Book Antiqua" w:cs="Arial"/>
          <w:szCs w:val="24"/>
        </w:rPr>
        <w:t>’, as well as to</w:t>
      </w:r>
      <w:r>
        <w:rPr>
          <w:rFonts w:ascii="Book Antiqua" w:hAnsi="Book Antiqua" w:cs="Arial"/>
          <w:szCs w:val="24"/>
        </w:rPr>
        <w:t xml:space="preserve"> domestic and family violence </w:t>
      </w:r>
      <w:r w:rsidR="004C4A0D">
        <w:rPr>
          <w:rFonts w:ascii="Book Antiqua" w:hAnsi="Book Antiqua" w:cs="Arial"/>
          <w:szCs w:val="24"/>
        </w:rPr>
        <w:t xml:space="preserve">and </w:t>
      </w:r>
      <w:r w:rsidRPr="007B7CF0">
        <w:rPr>
          <w:rFonts w:ascii="Book Antiqua" w:hAnsi="Book Antiqua" w:cs="Arial"/>
          <w:szCs w:val="24"/>
        </w:rPr>
        <w:t>the introduction of the notion of coercive control</w:t>
      </w:r>
      <w:r w:rsidR="004C4A0D">
        <w:rPr>
          <w:rFonts w:ascii="Book Antiqua" w:hAnsi="Book Antiqua" w:cs="Arial"/>
          <w:szCs w:val="24"/>
        </w:rPr>
        <w:t xml:space="preserve"> as a legislatively recognised </w:t>
      </w:r>
      <w:r w:rsidR="009D4934">
        <w:rPr>
          <w:rFonts w:ascii="Book Antiqua" w:hAnsi="Book Antiqua" w:cs="Arial"/>
          <w:szCs w:val="24"/>
        </w:rPr>
        <w:t>form of domestic abuse. Ultimately, t</w:t>
      </w:r>
      <w:r w:rsidR="009D4934" w:rsidRPr="007B7CF0">
        <w:rPr>
          <w:rFonts w:ascii="Book Antiqua" w:hAnsi="Book Antiqua" w:cs="Arial"/>
          <w:szCs w:val="24"/>
        </w:rPr>
        <w:t>hese issues are linked by a central issue –</w:t>
      </w:r>
      <w:r w:rsidR="009D4934">
        <w:rPr>
          <w:rFonts w:ascii="Book Antiqua" w:hAnsi="Book Antiqua" w:cs="Arial"/>
          <w:szCs w:val="24"/>
        </w:rPr>
        <w:t xml:space="preserve"> t</w:t>
      </w:r>
      <w:r w:rsidR="009D4934" w:rsidRPr="007B7CF0">
        <w:rPr>
          <w:rFonts w:ascii="Book Antiqua" w:hAnsi="Book Antiqua" w:cs="Arial"/>
          <w:szCs w:val="24"/>
        </w:rPr>
        <w:t xml:space="preserve">he treatment of women in our society and their experience within the justice system.  Both involve deeply concerning legal and societal questions </w:t>
      </w:r>
      <w:r w:rsidR="009D4934">
        <w:rPr>
          <w:rFonts w:ascii="Book Antiqua" w:hAnsi="Book Antiqua" w:cs="Arial"/>
          <w:szCs w:val="24"/>
        </w:rPr>
        <w:t>about</w:t>
      </w:r>
      <w:r w:rsidR="009D4934" w:rsidRPr="007B7CF0">
        <w:rPr>
          <w:rFonts w:ascii="Book Antiqua" w:hAnsi="Book Antiqua" w:cs="Arial"/>
          <w:szCs w:val="24"/>
        </w:rPr>
        <w:t xml:space="preserve"> control, </w:t>
      </w:r>
      <w:proofErr w:type="gramStart"/>
      <w:r w:rsidR="009D4934" w:rsidRPr="007B7CF0">
        <w:rPr>
          <w:rFonts w:ascii="Book Antiqua" w:hAnsi="Book Antiqua" w:cs="Arial"/>
          <w:szCs w:val="24"/>
        </w:rPr>
        <w:t>consent</w:t>
      </w:r>
      <w:proofErr w:type="gramEnd"/>
      <w:r w:rsidR="009D4934" w:rsidRPr="007B7CF0">
        <w:rPr>
          <w:rFonts w:ascii="Book Antiqua" w:hAnsi="Book Antiqua" w:cs="Arial"/>
          <w:szCs w:val="24"/>
        </w:rPr>
        <w:t xml:space="preserve"> and respect.</w:t>
      </w:r>
    </w:p>
    <w:p w14:paraId="3B23AE62" w14:textId="036CC5F6" w:rsidR="003D64A0" w:rsidRPr="007B7CF0" w:rsidRDefault="003D64A0" w:rsidP="00D47EEA">
      <w:pPr>
        <w:pStyle w:val="NumParra"/>
        <w:numPr>
          <w:ilvl w:val="0"/>
          <w:numId w:val="0"/>
        </w:numPr>
        <w:ind w:left="786" w:hanging="360"/>
        <w:rPr>
          <w:rFonts w:ascii="Book Antiqua" w:hAnsi="Book Antiqua" w:cs="Arial"/>
          <w:b/>
          <w:bCs/>
          <w:szCs w:val="24"/>
        </w:rPr>
      </w:pPr>
      <w:r w:rsidRPr="007B7CF0">
        <w:rPr>
          <w:rFonts w:ascii="Book Antiqua" w:hAnsi="Book Antiqua" w:cs="Arial"/>
          <w:b/>
          <w:bCs/>
          <w:szCs w:val="24"/>
        </w:rPr>
        <w:t>Sexual Assault</w:t>
      </w:r>
    </w:p>
    <w:p w14:paraId="2EAEC637" w14:textId="0320FBAC" w:rsidR="00AA266E" w:rsidRPr="007B7CF0" w:rsidRDefault="00AA266E" w:rsidP="00D47EEA">
      <w:pPr>
        <w:pStyle w:val="NumParra"/>
        <w:numPr>
          <w:ilvl w:val="0"/>
          <w:numId w:val="0"/>
        </w:numPr>
        <w:ind w:left="786" w:hanging="360"/>
        <w:jc w:val="both"/>
        <w:rPr>
          <w:rFonts w:ascii="Book Antiqua" w:hAnsi="Book Antiqua" w:cs="Arial"/>
          <w:i/>
          <w:iCs/>
          <w:szCs w:val="24"/>
        </w:rPr>
      </w:pPr>
      <w:r w:rsidRPr="007B7CF0">
        <w:rPr>
          <w:rFonts w:ascii="Book Antiqua" w:hAnsi="Book Antiqua" w:cs="Arial"/>
          <w:i/>
          <w:iCs/>
          <w:szCs w:val="24"/>
        </w:rPr>
        <w:t>A little by way of history</w:t>
      </w:r>
    </w:p>
    <w:p w14:paraId="00719695" w14:textId="51EFFB6C" w:rsidR="00AB2ED3" w:rsidRPr="007B7CF0" w:rsidRDefault="003D64A0" w:rsidP="007B7CF0">
      <w:pPr>
        <w:pStyle w:val="NumParra"/>
        <w:jc w:val="both"/>
        <w:rPr>
          <w:rFonts w:ascii="Book Antiqua" w:hAnsi="Book Antiqua" w:cs="Arial"/>
          <w:szCs w:val="24"/>
        </w:rPr>
      </w:pPr>
      <w:r w:rsidRPr="007B7CF0">
        <w:rPr>
          <w:rFonts w:ascii="Book Antiqua" w:hAnsi="Book Antiqua" w:cs="Arial"/>
          <w:szCs w:val="24"/>
        </w:rPr>
        <w:t>At common law, ‘carnal knowledge of a woman against her will’ required proof</w:t>
      </w:r>
      <w:r w:rsidR="00D146E6">
        <w:rPr>
          <w:rFonts w:ascii="Book Antiqua" w:hAnsi="Book Antiqua" w:cs="Arial"/>
          <w:szCs w:val="24"/>
        </w:rPr>
        <w:t xml:space="preserve"> of</w:t>
      </w:r>
      <w:r w:rsidRPr="007B7CF0">
        <w:rPr>
          <w:rFonts w:ascii="Book Antiqua" w:hAnsi="Book Antiqua" w:cs="Arial"/>
          <w:szCs w:val="24"/>
        </w:rPr>
        <w:t xml:space="preserve"> </w:t>
      </w:r>
      <w:r w:rsidR="00756302" w:rsidRPr="007B7CF0">
        <w:rPr>
          <w:rFonts w:ascii="Book Antiqua" w:hAnsi="Book Antiqua" w:cs="Arial"/>
          <w:szCs w:val="24"/>
        </w:rPr>
        <w:t>both</w:t>
      </w:r>
      <w:r w:rsidRPr="007B7CF0">
        <w:rPr>
          <w:rFonts w:ascii="Book Antiqua" w:hAnsi="Book Antiqua" w:cs="Arial"/>
          <w:szCs w:val="24"/>
        </w:rPr>
        <w:t xml:space="preserve"> penile-vaginal penetration and</w:t>
      </w:r>
      <w:r w:rsidR="00756302" w:rsidRPr="007B7CF0">
        <w:rPr>
          <w:rFonts w:ascii="Book Antiqua" w:hAnsi="Book Antiqua" w:cs="Arial"/>
          <w:szCs w:val="24"/>
        </w:rPr>
        <w:t xml:space="preserve"> ‘</w:t>
      </w:r>
      <w:r w:rsidRPr="007B7CF0">
        <w:rPr>
          <w:rFonts w:ascii="Book Antiqua" w:hAnsi="Book Antiqua" w:cs="Arial"/>
          <w:szCs w:val="24"/>
        </w:rPr>
        <w:t>non-consent</w:t>
      </w:r>
      <w:r w:rsidR="00756302" w:rsidRPr="007B7CF0">
        <w:rPr>
          <w:rFonts w:ascii="Book Antiqua" w:hAnsi="Book Antiqua" w:cs="Arial"/>
          <w:szCs w:val="24"/>
        </w:rPr>
        <w:t>’</w:t>
      </w:r>
      <w:r w:rsidRPr="007B7CF0">
        <w:rPr>
          <w:rFonts w:ascii="Book Antiqua" w:hAnsi="Book Antiqua" w:cs="Arial"/>
          <w:szCs w:val="24"/>
        </w:rPr>
        <w:t xml:space="preserve">, understood to </w:t>
      </w:r>
      <w:r w:rsidRPr="007B7CF0">
        <w:rPr>
          <w:rFonts w:ascii="Book Antiqua" w:hAnsi="Book Antiqua" w:cs="Arial"/>
          <w:szCs w:val="24"/>
        </w:rPr>
        <w:lastRenderedPageBreak/>
        <w:t xml:space="preserve">mean against the woman’s will.  </w:t>
      </w:r>
      <w:r w:rsidR="00756302" w:rsidRPr="007B7CF0">
        <w:rPr>
          <w:rFonts w:ascii="Book Antiqua" w:hAnsi="Book Antiqua" w:cs="Arial"/>
          <w:szCs w:val="24"/>
        </w:rPr>
        <w:t>Historically, only men could commit</w:t>
      </w:r>
      <w:r w:rsidR="00D146E6">
        <w:rPr>
          <w:rFonts w:ascii="Book Antiqua" w:hAnsi="Book Antiqua" w:cs="Arial"/>
          <w:szCs w:val="24"/>
        </w:rPr>
        <w:t xml:space="preserve"> ‘rape’</w:t>
      </w:r>
      <w:r w:rsidR="00756302" w:rsidRPr="007B7CF0">
        <w:rPr>
          <w:rFonts w:ascii="Book Antiqua" w:hAnsi="Book Antiqua" w:cs="Arial"/>
          <w:szCs w:val="24"/>
        </w:rPr>
        <w:t xml:space="preserve"> and only women could be victims of ‘rape’.  </w:t>
      </w:r>
    </w:p>
    <w:p w14:paraId="4053346F" w14:textId="55DB7709" w:rsidR="00193270" w:rsidRDefault="00756302" w:rsidP="006043A9">
      <w:pPr>
        <w:pStyle w:val="NumParra"/>
        <w:jc w:val="both"/>
        <w:rPr>
          <w:rFonts w:ascii="Book Antiqua" w:hAnsi="Book Antiqua" w:cs="Arial"/>
          <w:szCs w:val="24"/>
        </w:rPr>
      </w:pPr>
      <w:r w:rsidRPr="007B7CF0">
        <w:rPr>
          <w:rFonts w:ascii="Book Antiqua" w:hAnsi="Book Antiqua" w:cs="Arial"/>
          <w:szCs w:val="24"/>
        </w:rPr>
        <w:t>Two immunities existed</w:t>
      </w:r>
      <w:r w:rsidR="002B3922">
        <w:rPr>
          <w:rFonts w:ascii="Book Antiqua" w:hAnsi="Book Antiqua" w:cs="Arial"/>
          <w:szCs w:val="24"/>
        </w:rPr>
        <w:t>. The</w:t>
      </w:r>
      <w:r w:rsidR="005F3CBD">
        <w:rPr>
          <w:rFonts w:ascii="Book Antiqua" w:hAnsi="Book Antiqua" w:cs="Arial"/>
          <w:szCs w:val="24"/>
        </w:rPr>
        <w:t xml:space="preserve"> first </w:t>
      </w:r>
      <w:r w:rsidR="00096F77">
        <w:rPr>
          <w:rFonts w:ascii="Book Antiqua" w:hAnsi="Book Antiqua" w:cs="Arial"/>
          <w:szCs w:val="24"/>
        </w:rPr>
        <w:t>was</w:t>
      </w:r>
      <w:r w:rsidR="005F3CBD">
        <w:rPr>
          <w:rFonts w:ascii="Book Antiqua" w:hAnsi="Book Antiqua" w:cs="Arial"/>
          <w:szCs w:val="24"/>
        </w:rPr>
        <w:t xml:space="preserve"> that m</w:t>
      </w:r>
      <w:r w:rsidR="00AB2ED3" w:rsidRPr="007B7CF0">
        <w:rPr>
          <w:rFonts w:ascii="Book Antiqua" w:hAnsi="Book Antiqua" w:cs="Arial"/>
          <w:szCs w:val="24"/>
        </w:rPr>
        <w:t xml:space="preserve">ales </w:t>
      </w:r>
      <w:r w:rsidRPr="007B7CF0">
        <w:rPr>
          <w:rFonts w:ascii="Book Antiqua" w:hAnsi="Book Antiqua" w:cs="Arial"/>
          <w:szCs w:val="24"/>
        </w:rPr>
        <w:t>under the age of 14 were deemed incapable of committing rape.</w:t>
      </w:r>
      <w:r w:rsidR="00AB2ED3" w:rsidRPr="007B7CF0">
        <w:rPr>
          <w:rFonts w:ascii="Book Antiqua" w:hAnsi="Book Antiqua" w:cs="Arial"/>
          <w:szCs w:val="24"/>
        </w:rPr>
        <w:t xml:space="preserve">  The other was ‘marital immunity’, a concept propounded by Matthew Hale in </w:t>
      </w:r>
      <w:r w:rsidR="000C1C93">
        <w:rPr>
          <w:rFonts w:ascii="Book Antiqua" w:hAnsi="Book Antiqua" w:cs="Arial"/>
          <w:szCs w:val="24"/>
        </w:rPr>
        <w:t>the 18</w:t>
      </w:r>
      <w:r w:rsidR="000C1C93" w:rsidRPr="000C1C93">
        <w:rPr>
          <w:rFonts w:ascii="Book Antiqua" w:hAnsi="Book Antiqua" w:cs="Arial"/>
          <w:szCs w:val="24"/>
          <w:vertAlign w:val="superscript"/>
        </w:rPr>
        <w:t>th</w:t>
      </w:r>
      <w:r w:rsidR="000C1C93">
        <w:rPr>
          <w:rFonts w:ascii="Book Antiqua" w:hAnsi="Book Antiqua" w:cs="Arial"/>
          <w:szCs w:val="24"/>
        </w:rPr>
        <w:t xml:space="preserve"> century</w:t>
      </w:r>
      <w:r w:rsidR="00AB2ED3" w:rsidRPr="007B7CF0">
        <w:rPr>
          <w:rFonts w:ascii="Book Antiqua" w:hAnsi="Book Antiqua" w:cs="Arial"/>
          <w:szCs w:val="24"/>
        </w:rPr>
        <w:t xml:space="preserve"> on the basis that, ‘for by the</w:t>
      </w:r>
      <w:r w:rsidR="00BB22E4">
        <w:rPr>
          <w:rFonts w:ascii="Book Antiqua" w:hAnsi="Book Antiqua" w:cs="Arial"/>
          <w:szCs w:val="24"/>
        </w:rPr>
        <w:t>ir</w:t>
      </w:r>
      <w:r w:rsidR="00AB2ED3" w:rsidRPr="007B7CF0">
        <w:rPr>
          <w:rFonts w:ascii="Book Antiqua" w:hAnsi="Book Antiqua" w:cs="Arial"/>
          <w:szCs w:val="24"/>
        </w:rPr>
        <w:t xml:space="preserve"> matrimonial consent and contract the wife hath given up herself in this kind unto her husband, which she cannot retract’.</w:t>
      </w:r>
      <w:r w:rsidR="00AB2ED3" w:rsidRPr="002B3922">
        <w:rPr>
          <w:rFonts w:ascii="Book Antiqua" w:hAnsi="Book Antiqua"/>
          <w:vertAlign w:val="superscript"/>
        </w:rPr>
        <w:footnoteReference w:id="14"/>
      </w:r>
      <w:r w:rsidR="00AB2ED3" w:rsidRPr="00D47EEA">
        <w:rPr>
          <w:rFonts w:ascii="Book Antiqua" w:hAnsi="Book Antiqua" w:cs="Arial"/>
          <w:szCs w:val="24"/>
          <w:vertAlign w:val="superscript"/>
        </w:rPr>
        <w:t xml:space="preserve"> </w:t>
      </w:r>
      <w:r w:rsidR="00AB2ED3" w:rsidRPr="007B7CF0">
        <w:rPr>
          <w:rFonts w:ascii="Book Antiqua" w:hAnsi="Book Antiqua" w:cs="Arial"/>
          <w:szCs w:val="24"/>
        </w:rPr>
        <w:t xml:space="preserve"> </w:t>
      </w:r>
    </w:p>
    <w:p w14:paraId="56E38C86" w14:textId="2AA6D188" w:rsidR="002B3922" w:rsidRDefault="006043A9" w:rsidP="007B7CF0">
      <w:pPr>
        <w:pStyle w:val="NumParra"/>
        <w:jc w:val="both"/>
        <w:rPr>
          <w:rFonts w:ascii="Book Antiqua" w:hAnsi="Book Antiqua" w:cs="Arial"/>
          <w:szCs w:val="24"/>
        </w:rPr>
      </w:pPr>
      <w:r w:rsidRPr="001D26C2">
        <w:rPr>
          <w:rFonts w:ascii="Book Antiqua" w:hAnsi="Book Antiqua" w:cs="Arial"/>
          <w:szCs w:val="24"/>
        </w:rPr>
        <w:t>Neither concept continues to exist as an immunity</w:t>
      </w:r>
      <w:r w:rsidR="00413CC3" w:rsidRPr="001D26C2">
        <w:rPr>
          <w:rFonts w:ascii="Book Antiqua" w:hAnsi="Book Antiqua" w:cs="Arial"/>
          <w:szCs w:val="24"/>
        </w:rPr>
        <w:t xml:space="preserve">.  </w:t>
      </w:r>
      <w:r w:rsidR="00193270" w:rsidRPr="001D26C2">
        <w:rPr>
          <w:rFonts w:ascii="Book Antiqua" w:hAnsi="Book Antiqua" w:cs="Arial"/>
          <w:szCs w:val="24"/>
        </w:rPr>
        <w:t xml:space="preserve">The </w:t>
      </w:r>
      <w:r w:rsidR="00193270" w:rsidRPr="001D26C2">
        <w:rPr>
          <w:rFonts w:ascii="Book Antiqua" w:hAnsi="Book Antiqua" w:cs="Arial"/>
          <w:i/>
          <w:iCs/>
          <w:szCs w:val="24"/>
        </w:rPr>
        <w:t xml:space="preserve">Children (Criminal Proceedings Act) 1987 </w:t>
      </w:r>
      <w:r w:rsidR="00193270" w:rsidRPr="001D26C2">
        <w:rPr>
          <w:rFonts w:ascii="Book Antiqua" w:hAnsi="Book Antiqua" w:cs="Arial"/>
          <w:szCs w:val="24"/>
        </w:rPr>
        <w:t>(NSW) prescribes the age of 10</w:t>
      </w:r>
      <w:r w:rsidR="00193270" w:rsidRPr="007B7CF0">
        <w:rPr>
          <w:rFonts w:ascii="Book Antiqua" w:hAnsi="Book Antiqua" w:cs="Arial"/>
          <w:szCs w:val="24"/>
        </w:rPr>
        <w:t xml:space="preserve"> as the minimum age of criminal responsibility</w:t>
      </w:r>
      <w:r w:rsidR="00193270" w:rsidRPr="00161E75">
        <w:rPr>
          <w:rFonts w:ascii="Book Antiqua" w:hAnsi="Book Antiqua" w:cs="Arial"/>
          <w:szCs w:val="24"/>
        </w:rPr>
        <w:t>.</w:t>
      </w:r>
      <w:r w:rsidR="00193270" w:rsidRPr="002B3922">
        <w:rPr>
          <w:rFonts w:ascii="Book Antiqua" w:hAnsi="Book Antiqua"/>
          <w:vertAlign w:val="superscript"/>
        </w:rPr>
        <w:footnoteReference w:id="15"/>
      </w:r>
      <w:r w:rsidR="00193270" w:rsidRPr="00AD3B64">
        <w:rPr>
          <w:rFonts w:ascii="Book Antiqua" w:hAnsi="Book Antiqua" w:cs="Arial"/>
          <w:szCs w:val="24"/>
        </w:rPr>
        <w:t xml:space="preserve">  However,</w:t>
      </w:r>
      <w:r w:rsidR="00193270" w:rsidRPr="007B7CF0">
        <w:rPr>
          <w:rFonts w:ascii="Book Antiqua" w:hAnsi="Book Antiqua" w:cs="Arial"/>
          <w:szCs w:val="24"/>
        </w:rPr>
        <w:t xml:space="preserve"> pursuant to the rebuttable presumption of </w:t>
      </w:r>
      <w:proofErr w:type="spellStart"/>
      <w:r w:rsidR="00193270" w:rsidRPr="00AD3B64">
        <w:rPr>
          <w:rFonts w:ascii="Book Antiqua" w:hAnsi="Book Antiqua" w:cs="Arial"/>
          <w:i/>
          <w:iCs/>
          <w:szCs w:val="24"/>
        </w:rPr>
        <w:t>doli</w:t>
      </w:r>
      <w:proofErr w:type="spellEnd"/>
      <w:r w:rsidR="00193270" w:rsidRPr="00AD3B64">
        <w:rPr>
          <w:rFonts w:ascii="Book Antiqua" w:hAnsi="Book Antiqua" w:cs="Arial"/>
          <w:i/>
          <w:iCs/>
          <w:szCs w:val="24"/>
        </w:rPr>
        <w:t xml:space="preserve"> incapax</w:t>
      </w:r>
      <w:r w:rsidR="00193270" w:rsidRPr="00AD3B64">
        <w:rPr>
          <w:rFonts w:ascii="Book Antiqua" w:hAnsi="Book Antiqua" w:cs="Arial"/>
          <w:szCs w:val="24"/>
        </w:rPr>
        <w:t xml:space="preserve">, </w:t>
      </w:r>
      <w:r w:rsidR="00193270" w:rsidRPr="007B7CF0">
        <w:rPr>
          <w:rFonts w:ascii="Book Antiqua" w:hAnsi="Book Antiqua" w:cs="Arial"/>
          <w:szCs w:val="24"/>
        </w:rPr>
        <w:t xml:space="preserve">the common law presumes that a child between </w:t>
      </w:r>
      <w:r w:rsidR="00193270">
        <w:rPr>
          <w:rFonts w:ascii="Book Antiqua" w:hAnsi="Book Antiqua" w:cs="Arial"/>
          <w:szCs w:val="24"/>
        </w:rPr>
        <w:t xml:space="preserve">the ages of </w:t>
      </w:r>
      <w:r w:rsidR="00193270" w:rsidRPr="007B7CF0">
        <w:rPr>
          <w:rFonts w:ascii="Book Antiqua" w:hAnsi="Book Antiqua" w:cs="Arial"/>
          <w:szCs w:val="24"/>
        </w:rPr>
        <w:t xml:space="preserve">10 and 14 does not possess the necessary knowledge to form </w:t>
      </w:r>
      <w:r w:rsidR="00193270">
        <w:rPr>
          <w:rFonts w:ascii="Book Antiqua" w:hAnsi="Book Antiqua" w:cs="Arial"/>
          <w:szCs w:val="24"/>
        </w:rPr>
        <w:t xml:space="preserve">a </w:t>
      </w:r>
      <w:r w:rsidR="00193270" w:rsidRPr="007B7CF0">
        <w:rPr>
          <w:rFonts w:ascii="Book Antiqua" w:hAnsi="Book Antiqua" w:cs="Arial"/>
          <w:szCs w:val="24"/>
        </w:rPr>
        <w:t xml:space="preserve">criminal intention.  </w:t>
      </w:r>
      <w:r w:rsidR="002B3922">
        <w:rPr>
          <w:rFonts w:ascii="Book Antiqua" w:hAnsi="Book Antiqua" w:cs="Arial"/>
          <w:szCs w:val="24"/>
        </w:rPr>
        <w:t>This presumption was applied</w:t>
      </w:r>
      <w:r w:rsidR="00193270">
        <w:rPr>
          <w:rFonts w:ascii="Book Antiqua" w:hAnsi="Book Antiqua" w:cs="Arial"/>
          <w:szCs w:val="24"/>
        </w:rPr>
        <w:t xml:space="preserve"> in </w:t>
      </w:r>
      <w:r w:rsidR="00193270" w:rsidRPr="00AD3B64">
        <w:rPr>
          <w:rFonts w:ascii="Book Antiqua" w:hAnsi="Book Antiqua" w:cs="Arial"/>
          <w:i/>
          <w:iCs/>
          <w:szCs w:val="24"/>
        </w:rPr>
        <w:t>RP v The Queen</w:t>
      </w:r>
      <w:r w:rsidR="00193270" w:rsidRPr="007B55F3">
        <w:rPr>
          <w:rFonts w:ascii="Book Antiqua" w:hAnsi="Book Antiqua" w:cs="Arial"/>
          <w:szCs w:val="24"/>
        </w:rPr>
        <w:t>,</w:t>
      </w:r>
      <w:r w:rsidR="00193270">
        <w:rPr>
          <w:rStyle w:val="FootnoteReference"/>
          <w:rFonts w:ascii="Book Antiqua" w:hAnsi="Book Antiqua" w:cs="Arial"/>
          <w:szCs w:val="24"/>
        </w:rPr>
        <w:footnoteReference w:id="16"/>
      </w:r>
      <w:r w:rsidR="00193270" w:rsidRPr="007B55F3">
        <w:rPr>
          <w:rFonts w:ascii="Book Antiqua" w:hAnsi="Book Antiqua" w:cs="Arial"/>
          <w:szCs w:val="24"/>
        </w:rPr>
        <w:t xml:space="preserve"> </w:t>
      </w:r>
      <w:r w:rsidR="00193270">
        <w:rPr>
          <w:rFonts w:ascii="Book Antiqua" w:hAnsi="Book Antiqua" w:cs="Arial"/>
          <w:szCs w:val="24"/>
        </w:rPr>
        <w:t>a case which involved an</w:t>
      </w:r>
      <w:r w:rsidR="00193270" w:rsidRPr="007B7CF0">
        <w:rPr>
          <w:rFonts w:ascii="Book Antiqua" w:hAnsi="Book Antiqua" w:cs="Arial"/>
          <w:szCs w:val="24"/>
        </w:rPr>
        <w:t xml:space="preserve"> 11-year-old male</w:t>
      </w:r>
      <w:r w:rsidR="00193270">
        <w:rPr>
          <w:rFonts w:ascii="Book Antiqua" w:hAnsi="Book Antiqua" w:cs="Arial"/>
          <w:szCs w:val="24"/>
        </w:rPr>
        <w:t xml:space="preserve"> who was </w:t>
      </w:r>
      <w:r w:rsidR="00193270" w:rsidRPr="007B7CF0">
        <w:rPr>
          <w:rFonts w:ascii="Book Antiqua" w:hAnsi="Book Antiqua" w:cs="Arial"/>
          <w:szCs w:val="24"/>
        </w:rPr>
        <w:t>convicted o</w:t>
      </w:r>
      <w:r w:rsidR="00193270">
        <w:rPr>
          <w:rFonts w:ascii="Book Antiqua" w:hAnsi="Book Antiqua" w:cs="Arial"/>
          <w:szCs w:val="24"/>
        </w:rPr>
        <w:t>n</w:t>
      </w:r>
      <w:r w:rsidR="00193270" w:rsidRPr="007B7CF0">
        <w:rPr>
          <w:rFonts w:ascii="Book Antiqua" w:hAnsi="Book Antiqua" w:cs="Arial"/>
          <w:szCs w:val="24"/>
        </w:rPr>
        <w:t xml:space="preserve"> two counts of sexual intercourse with his 9-year-old half-brother.</w:t>
      </w:r>
      <w:r w:rsidR="00193270">
        <w:rPr>
          <w:rFonts w:ascii="Book Antiqua" w:hAnsi="Book Antiqua" w:cs="Arial"/>
          <w:szCs w:val="24"/>
        </w:rPr>
        <w:t xml:space="preserve"> </w:t>
      </w:r>
      <w:r w:rsidR="00193270" w:rsidRPr="007B7CF0">
        <w:rPr>
          <w:rFonts w:ascii="Book Antiqua" w:hAnsi="Book Antiqua" w:cs="Arial"/>
          <w:szCs w:val="24"/>
        </w:rPr>
        <w:t xml:space="preserve"> The High Court found there to be insufficient evidence to prove beyond reasonable doubt that the appellant, who had intellectual limitations, understood that his conduct was seriously wrong in a moral sense.</w:t>
      </w:r>
      <w:r w:rsidR="00193270" w:rsidRPr="009E6DE5">
        <w:rPr>
          <w:rFonts w:ascii="Book Antiqua" w:hAnsi="Book Antiqua"/>
          <w:vertAlign w:val="superscript"/>
        </w:rPr>
        <w:footnoteReference w:id="17"/>
      </w:r>
      <w:r w:rsidR="00193270" w:rsidRPr="007B7CF0">
        <w:rPr>
          <w:rFonts w:ascii="Book Antiqua" w:hAnsi="Book Antiqua" w:cs="Arial"/>
          <w:szCs w:val="24"/>
        </w:rPr>
        <w:t xml:space="preserve">  His convictions were quashed and a verdict of acquittal</w:t>
      </w:r>
      <w:r w:rsidR="00193270">
        <w:rPr>
          <w:rFonts w:ascii="Book Antiqua" w:hAnsi="Book Antiqua" w:cs="Arial"/>
          <w:szCs w:val="24"/>
        </w:rPr>
        <w:t xml:space="preserve"> was</w:t>
      </w:r>
      <w:r w:rsidR="00193270" w:rsidRPr="007B7CF0">
        <w:rPr>
          <w:rFonts w:ascii="Book Antiqua" w:hAnsi="Book Antiqua" w:cs="Arial"/>
          <w:szCs w:val="24"/>
        </w:rPr>
        <w:t xml:space="preserve"> entered</w:t>
      </w:r>
      <w:r w:rsidR="00193270" w:rsidRPr="007B55F3">
        <w:rPr>
          <w:rFonts w:ascii="Book Antiqua" w:hAnsi="Book Antiqua" w:cs="Arial"/>
          <w:szCs w:val="24"/>
        </w:rPr>
        <w:t xml:space="preserve">. </w:t>
      </w:r>
    </w:p>
    <w:p w14:paraId="1010D6D5" w14:textId="4E641601" w:rsidR="009B3B8A" w:rsidRPr="002B3922" w:rsidRDefault="00AA266E" w:rsidP="002B3922">
      <w:pPr>
        <w:pStyle w:val="NumParra"/>
        <w:jc w:val="both"/>
        <w:rPr>
          <w:rFonts w:ascii="Book Antiqua" w:hAnsi="Book Antiqua" w:cs="Arial"/>
          <w:szCs w:val="24"/>
        </w:rPr>
      </w:pPr>
      <w:r w:rsidRPr="007B7CF0">
        <w:rPr>
          <w:rFonts w:ascii="Book Antiqua" w:hAnsi="Book Antiqua" w:cs="Arial"/>
          <w:szCs w:val="24"/>
        </w:rPr>
        <w:t xml:space="preserve">The status and/or existence of </w:t>
      </w:r>
      <w:r w:rsidR="00AB2ED3" w:rsidRPr="007B7CF0">
        <w:rPr>
          <w:rFonts w:ascii="Book Antiqua" w:hAnsi="Book Antiqua" w:cs="Arial"/>
          <w:szCs w:val="24"/>
        </w:rPr>
        <w:t>marital immunity</w:t>
      </w:r>
      <w:r w:rsidRPr="007B7CF0">
        <w:rPr>
          <w:rFonts w:ascii="Book Antiqua" w:hAnsi="Book Antiqua" w:cs="Arial"/>
          <w:szCs w:val="24"/>
        </w:rPr>
        <w:t xml:space="preserve"> was clarified</w:t>
      </w:r>
      <w:r w:rsidR="009B19FF">
        <w:rPr>
          <w:rFonts w:ascii="Book Antiqua" w:hAnsi="Book Antiqua" w:cs="Arial"/>
          <w:szCs w:val="24"/>
        </w:rPr>
        <w:t xml:space="preserve"> only</w:t>
      </w:r>
      <w:r w:rsidRPr="007B7CF0">
        <w:rPr>
          <w:rFonts w:ascii="Book Antiqua" w:hAnsi="Book Antiqua" w:cs="Arial"/>
          <w:szCs w:val="24"/>
        </w:rPr>
        <w:t xml:space="preserve"> relatively</w:t>
      </w:r>
      <w:r w:rsidR="00303A88">
        <w:rPr>
          <w:rFonts w:ascii="Book Antiqua" w:hAnsi="Book Antiqua" w:cs="Arial"/>
          <w:szCs w:val="24"/>
        </w:rPr>
        <w:t xml:space="preserve"> recently</w:t>
      </w:r>
      <w:r w:rsidRPr="007B7CF0">
        <w:rPr>
          <w:rFonts w:ascii="Book Antiqua" w:hAnsi="Book Antiqua" w:cs="Arial"/>
          <w:szCs w:val="24"/>
        </w:rPr>
        <w:t xml:space="preserve"> in </w:t>
      </w:r>
      <w:r w:rsidR="003D64A0" w:rsidRPr="007B7CF0">
        <w:rPr>
          <w:rFonts w:ascii="Book Antiqua" w:hAnsi="Book Antiqua" w:cs="Arial"/>
          <w:szCs w:val="24"/>
        </w:rPr>
        <w:t xml:space="preserve"> </w:t>
      </w:r>
      <w:r w:rsidR="003D64A0" w:rsidRPr="007B7CF0">
        <w:rPr>
          <w:rFonts w:ascii="Book Antiqua" w:hAnsi="Book Antiqua" w:cs="Arial"/>
          <w:i/>
          <w:iCs/>
          <w:szCs w:val="24"/>
        </w:rPr>
        <w:t>PGA v The Queen</w:t>
      </w:r>
      <w:r w:rsidRPr="007B7CF0">
        <w:rPr>
          <w:rFonts w:ascii="Book Antiqua" w:hAnsi="Book Antiqua" w:cs="Arial"/>
          <w:i/>
          <w:iCs/>
          <w:szCs w:val="24"/>
        </w:rPr>
        <w:t>,</w:t>
      </w:r>
      <w:r w:rsidR="003D64A0" w:rsidRPr="007B7CF0">
        <w:rPr>
          <w:rStyle w:val="FootnoteReference"/>
          <w:rFonts w:ascii="Book Antiqua" w:hAnsi="Book Antiqua" w:cs="Arial"/>
          <w:szCs w:val="24"/>
        </w:rPr>
        <w:footnoteReference w:id="18"/>
      </w:r>
      <w:r w:rsidR="003D64A0" w:rsidRPr="007B7CF0">
        <w:rPr>
          <w:rFonts w:ascii="Book Antiqua" w:hAnsi="Book Antiqua" w:cs="Arial"/>
          <w:szCs w:val="24"/>
        </w:rPr>
        <w:t xml:space="preserve"> </w:t>
      </w:r>
      <w:r w:rsidRPr="007B7CF0">
        <w:rPr>
          <w:rFonts w:ascii="Book Antiqua" w:hAnsi="Book Antiqua" w:cs="Arial"/>
          <w:szCs w:val="24"/>
        </w:rPr>
        <w:t xml:space="preserve">where </w:t>
      </w:r>
      <w:r w:rsidR="003D64A0" w:rsidRPr="007B7CF0">
        <w:rPr>
          <w:rFonts w:ascii="Book Antiqua" w:hAnsi="Book Antiqua" w:cs="Arial"/>
          <w:szCs w:val="24"/>
        </w:rPr>
        <w:t xml:space="preserve">the </w:t>
      </w:r>
      <w:r w:rsidRPr="007B7CF0">
        <w:rPr>
          <w:rFonts w:ascii="Book Antiqua" w:hAnsi="Book Antiqua" w:cs="Arial"/>
          <w:szCs w:val="24"/>
        </w:rPr>
        <w:t xml:space="preserve">High </w:t>
      </w:r>
      <w:r w:rsidR="003D64A0" w:rsidRPr="007B7CF0">
        <w:rPr>
          <w:rFonts w:ascii="Book Antiqua" w:hAnsi="Book Antiqua" w:cs="Arial"/>
          <w:szCs w:val="24"/>
        </w:rPr>
        <w:t>Court</w:t>
      </w:r>
      <w:r w:rsidR="004B4F13">
        <w:rPr>
          <w:rFonts w:ascii="Book Antiqua" w:hAnsi="Book Antiqua" w:cs="Arial"/>
          <w:szCs w:val="24"/>
        </w:rPr>
        <w:t>,</w:t>
      </w:r>
      <w:r w:rsidR="003D64A0" w:rsidRPr="007B7CF0">
        <w:rPr>
          <w:rFonts w:ascii="Book Antiqua" w:hAnsi="Book Antiqua" w:cs="Arial"/>
          <w:szCs w:val="24"/>
        </w:rPr>
        <w:t xml:space="preserve"> by majority</w:t>
      </w:r>
      <w:r w:rsidR="004B4F13">
        <w:rPr>
          <w:rFonts w:ascii="Book Antiqua" w:hAnsi="Book Antiqua" w:cs="Arial"/>
          <w:szCs w:val="24"/>
        </w:rPr>
        <w:t>,</w:t>
      </w:r>
      <w:r w:rsidR="003D64A0" w:rsidRPr="007B7CF0">
        <w:rPr>
          <w:rFonts w:ascii="Book Antiqua" w:hAnsi="Book Antiqua" w:cs="Arial"/>
          <w:szCs w:val="24"/>
        </w:rPr>
        <w:t xml:space="preserve"> stated that if that </w:t>
      </w:r>
      <w:r w:rsidRPr="007B7CF0">
        <w:rPr>
          <w:rFonts w:ascii="Book Antiqua" w:hAnsi="Book Antiqua" w:cs="Arial"/>
          <w:szCs w:val="24"/>
        </w:rPr>
        <w:t xml:space="preserve">immunity </w:t>
      </w:r>
      <w:r w:rsidR="003D64A0" w:rsidRPr="007B7CF0">
        <w:rPr>
          <w:rFonts w:ascii="Book Antiqua" w:hAnsi="Book Antiqua" w:cs="Arial"/>
          <w:szCs w:val="24"/>
        </w:rPr>
        <w:t xml:space="preserve">had ever been </w:t>
      </w:r>
      <w:r w:rsidRPr="007B7CF0">
        <w:rPr>
          <w:rFonts w:ascii="Book Antiqua" w:hAnsi="Book Antiqua" w:cs="Arial"/>
          <w:szCs w:val="24"/>
        </w:rPr>
        <w:t xml:space="preserve">part of </w:t>
      </w:r>
      <w:r w:rsidR="003D64A0" w:rsidRPr="007B7CF0">
        <w:rPr>
          <w:rFonts w:ascii="Book Antiqua" w:hAnsi="Book Antiqua" w:cs="Arial"/>
          <w:szCs w:val="24"/>
        </w:rPr>
        <w:t>the common law of Australia, by the time of the enactment of</w:t>
      </w:r>
      <w:r w:rsidR="00C01F25">
        <w:rPr>
          <w:rFonts w:ascii="Book Antiqua" w:hAnsi="Book Antiqua" w:cs="Arial"/>
          <w:szCs w:val="24"/>
        </w:rPr>
        <w:t xml:space="preserve"> the </w:t>
      </w:r>
      <w:r w:rsidR="00CD5B51">
        <w:rPr>
          <w:rFonts w:ascii="Book Antiqua" w:hAnsi="Book Antiqua" w:cs="Arial"/>
          <w:i/>
          <w:iCs/>
          <w:szCs w:val="24"/>
        </w:rPr>
        <w:t>Criminal Law Consolidation Act 1935</w:t>
      </w:r>
      <w:r w:rsidR="00CD5B51">
        <w:rPr>
          <w:rFonts w:ascii="Book Antiqua" w:hAnsi="Book Antiqua" w:cs="Arial"/>
          <w:szCs w:val="24"/>
        </w:rPr>
        <w:t xml:space="preserve"> (SA)</w:t>
      </w:r>
      <w:r w:rsidR="00CD5B51" w:rsidRPr="00CD5B51">
        <w:rPr>
          <w:rFonts w:ascii="Book Antiqua" w:hAnsi="Book Antiqua" w:cs="Arial"/>
          <w:szCs w:val="24"/>
        </w:rPr>
        <w:t xml:space="preserve"> </w:t>
      </w:r>
      <w:r w:rsidR="00CD5B51" w:rsidRPr="007B7CF0">
        <w:rPr>
          <w:rFonts w:ascii="Book Antiqua" w:hAnsi="Book Antiqua" w:cs="Arial"/>
          <w:szCs w:val="24"/>
        </w:rPr>
        <w:t>,</w:t>
      </w:r>
      <w:r w:rsidR="00CD5B51" w:rsidRPr="007B7CF0">
        <w:rPr>
          <w:rStyle w:val="FootnoteReference"/>
          <w:rFonts w:ascii="Book Antiqua" w:hAnsi="Book Antiqua" w:cs="Arial"/>
          <w:szCs w:val="24"/>
        </w:rPr>
        <w:footnoteReference w:id="19"/>
      </w:r>
      <w:r w:rsidR="00CD5B51" w:rsidRPr="007B7CF0">
        <w:rPr>
          <w:rFonts w:ascii="Book Antiqua" w:hAnsi="Book Antiqua" w:cs="Arial"/>
          <w:szCs w:val="24"/>
        </w:rPr>
        <w:t xml:space="preserve"> ‘local statute law had removed any basis for continued acceptance of Hale’s </w:t>
      </w:r>
      <w:r w:rsidR="00CD5B51" w:rsidRPr="007B7CF0">
        <w:rPr>
          <w:rFonts w:ascii="Book Antiqua" w:hAnsi="Book Antiqua" w:cs="Arial"/>
          <w:szCs w:val="24"/>
        </w:rPr>
        <w:lastRenderedPageBreak/>
        <w:t>proposition</w:t>
      </w:r>
      <w:r w:rsidR="00556534">
        <w:rPr>
          <w:rFonts w:ascii="Book Antiqua" w:hAnsi="Book Antiqua" w:cs="Arial"/>
          <w:szCs w:val="24"/>
        </w:rPr>
        <w:t>’.</w:t>
      </w:r>
      <w:r w:rsidR="00CD5B51" w:rsidRPr="007B7CF0">
        <w:rPr>
          <w:rStyle w:val="FootnoteReference"/>
          <w:rFonts w:ascii="Book Antiqua" w:hAnsi="Book Antiqua" w:cs="Arial"/>
          <w:szCs w:val="24"/>
        </w:rPr>
        <w:footnoteReference w:id="20"/>
      </w:r>
      <w:r w:rsidR="00CD5B51" w:rsidRPr="007B7CF0">
        <w:rPr>
          <w:rFonts w:ascii="Book Antiqua" w:hAnsi="Book Antiqua" w:cs="Arial"/>
          <w:szCs w:val="24"/>
        </w:rPr>
        <w:t xml:space="preserve">  The majority eschewed any reliance upon changes in social circumstances in reaching this conclusion</w:t>
      </w:r>
      <w:r w:rsidR="00B12A81">
        <w:rPr>
          <w:rFonts w:ascii="Book Antiqua" w:hAnsi="Book Antiqua" w:cs="Arial"/>
          <w:szCs w:val="24"/>
        </w:rPr>
        <w:t>;</w:t>
      </w:r>
      <w:r w:rsidR="00637729">
        <w:rPr>
          <w:rFonts w:ascii="Book Antiqua" w:hAnsi="Book Antiqua" w:cs="Arial"/>
          <w:szCs w:val="24"/>
        </w:rPr>
        <w:t xml:space="preserve"> rather, their conclusion was based on </w:t>
      </w:r>
      <w:r w:rsidR="005C782E">
        <w:rPr>
          <w:rFonts w:ascii="Book Antiqua" w:hAnsi="Book Antiqua" w:cs="Arial"/>
          <w:szCs w:val="24"/>
        </w:rPr>
        <w:t>the proper construction of the legislation</w:t>
      </w:r>
      <w:r w:rsidR="00CD5B51" w:rsidRPr="007B7CF0">
        <w:rPr>
          <w:rFonts w:ascii="Book Antiqua" w:hAnsi="Book Antiqua" w:cs="Arial"/>
          <w:szCs w:val="24"/>
        </w:rPr>
        <w:t xml:space="preserve">.  Nonetheless, the decision was a landmark case of great social importance for Australian women. </w:t>
      </w:r>
      <w:r w:rsidR="00CD5B51">
        <w:rPr>
          <w:rFonts w:ascii="Book Antiqua" w:hAnsi="Book Antiqua" w:cs="Arial"/>
          <w:szCs w:val="24"/>
        </w:rPr>
        <w:t xml:space="preserve"> </w:t>
      </w:r>
    </w:p>
    <w:p w14:paraId="5CD47B3F" w14:textId="062C4D33" w:rsidR="00AA266E" w:rsidRPr="007B7CF0" w:rsidRDefault="00C332F1" w:rsidP="00D47EEA">
      <w:pPr>
        <w:pStyle w:val="NumParra"/>
        <w:numPr>
          <w:ilvl w:val="0"/>
          <w:numId w:val="0"/>
        </w:numPr>
        <w:ind w:left="426"/>
        <w:jc w:val="both"/>
        <w:rPr>
          <w:rFonts w:ascii="Book Antiqua" w:hAnsi="Book Antiqua" w:cs="Arial"/>
          <w:szCs w:val="24"/>
        </w:rPr>
      </w:pPr>
      <w:r>
        <w:rPr>
          <w:rFonts w:ascii="Book Antiqua" w:hAnsi="Book Antiqua" w:cs="Arial"/>
          <w:i/>
          <w:iCs/>
          <w:szCs w:val="24"/>
        </w:rPr>
        <w:t>O</w:t>
      </w:r>
      <w:r w:rsidR="009B3B8A" w:rsidRPr="007B7CF0">
        <w:rPr>
          <w:rFonts w:ascii="Book Antiqua" w:hAnsi="Book Antiqua" w:cs="Arial"/>
          <w:i/>
          <w:iCs/>
          <w:szCs w:val="24"/>
        </w:rPr>
        <w:t>ld-fashioned</w:t>
      </w:r>
      <w:r w:rsidR="00AA266E" w:rsidRPr="007B7CF0">
        <w:rPr>
          <w:rFonts w:ascii="Book Antiqua" w:hAnsi="Book Antiqua" w:cs="Arial"/>
          <w:i/>
          <w:iCs/>
          <w:szCs w:val="24"/>
        </w:rPr>
        <w:t xml:space="preserve"> assumption</w:t>
      </w:r>
      <w:r>
        <w:rPr>
          <w:rFonts w:ascii="Book Antiqua" w:hAnsi="Book Antiqua" w:cs="Arial"/>
          <w:i/>
          <w:iCs/>
          <w:szCs w:val="24"/>
        </w:rPr>
        <w:t>s</w:t>
      </w:r>
      <w:r w:rsidR="00AA266E" w:rsidRPr="007B7CF0">
        <w:rPr>
          <w:rFonts w:ascii="Book Antiqua" w:hAnsi="Book Antiqua" w:cs="Arial"/>
          <w:i/>
          <w:iCs/>
          <w:szCs w:val="24"/>
        </w:rPr>
        <w:t xml:space="preserve"> and procedural reforms</w:t>
      </w:r>
    </w:p>
    <w:p w14:paraId="307DEBA5" w14:textId="5F773C1F" w:rsidR="003D64A0" w:rsidRPr="007B7CF0" w:rsidRDefault="0060462B" w:rsidP="007B7CF0">
      <w:pPr>
        <w:pStyle w:val="NumParra"/>
        <w:jc w:val="both"/>
        <w:rPr>
          <w:rFonts w:ascii="Book Antiqua" w:hAnsi="Book Antiqua" w:cs="Arial"/>
          <w:szCs w:val="24"/>
        </w:rPr>
      </w:pPr>
      <w:r>
        <w:rPr>
          <w:rFonts w:ascii="Book Antiqua" w:hAnsi="Book Antiqua" w:cs="Arial"/>
          <w:szCs w:val="24"/>
        </w:rPr>
        <w:t xml:space="preserve">As </w:t>
      </w:r>
      <w:r w:rsidR="005C782E">
        <w:rPr>
          <w:rFonts w:ascii="Book Antiqua" w:hAnsi="Book Antiqua" w:cs="Arial"/>
          <w:szCs w:val="24"/>
        </w:rPr>
        <w:t xml:space="preserve">is well known </w:t>
      </w:r>
      <w:r w:rsidR="00BE5DDF">
        <w:rPr>
          <w:rFonts w:ascii="Book Antiqua" w:hAnsi="Book Antiqua" w:cs="Arial"/>
          <w:szCs w:val="24"/>
        </w:rPr>
        <w:t>by</w:t>
      </w:r>
      <w:r>
        <w:rPr>
          <w:rFonts w:ascii="Book Antiqua" w:hAnsi="Book Antiqua" w:cs="Arial"/>
          <w:szCs w:val="24"/>
        </w:rPr>
        <w:t xml:space="preserve"> the profession</w:t>
      </w:r>
      <w:r w:rsidR="002B3922">
        <w:rPr>
          <w:rFonts w:ascii="Book Antiqua" w:hAnsi="Book Antiqua" w:cs="Arial"/>
          <w:szCs w:val="24"/>
        </w:rPr>
        <w:t>,</w:t>
      </w:r>
      <w:r w:rsidR="00962019">
        <w:rPr>
          <w:rFonts w:ascii="Book Antiqua" w:hAnsi="Book Antiqua" w:cs="Arial"/>
          <w:szCs w:val="24"/>
        </w:rPr>
        <w:t xml:space="preserve"> in the past,</w:t>
      </w:r>
      <w:r w:rsidR="003D64A0" w:rsidRPr="007B7CF0">
        <w:rPr>
          <w:rFonts w:ascii="Book Antiqua" w:hAnsi="Book Antiqua" w:cs="Arial"/>
          <w:szCs w:val="24"/>
        </w:rPr>
        <w:t xml:space="preserve"> assumptions </w:t>
      </w:r>
      <w:r w:rsidR="00962019">
        <w:rPr>
          <w:rFonts w:ascii="Book Antiqua" w:hAnsi="Book Antiqua" w:cs="Arial"/>
          <w:szCs w:val="24"/>
        </w:rPr>
        <w:t>(</w:t>
      </w:r>
      <w:r w:rsidR="003D64A0" w:rsidRPr="007B7CF0">
        <w:rPr>
          <w:rFonts w:ascii="Book Antiqua" w:hAnsi="Book Antiqua" w:cs="Arial"/>
          <w:szCs w:val="24"/>
        </w:rPr>
        <w:t>perhaps better described as tactics</w:t>
      </w:r>
      <w:r w:rsidR="00962019">
        <w:rPr>
          <w:rFonts w:ascii="Book Antiqua" w:hAnsi="Book Antiqua" w:cs="Arial"/>
          <w:szCs w:val="24"/>
        </w:rPr>
        <w:t>)</w:t>
      </w:r>
      <w:r w:rsidR="003D64A0" w:rsidRPr="007B7CF0">
        <w:rPr>
          <w:rFonts w:ascii="Book Antiqua" w:hAnsi="Book Antiqua" w:cs="Arial"/>
          <w:szCs w:val="24"/>
        </w:rPr>
        <w:t xml:space="preserve"> tended to dictate the course of trials.  </w:t>
      </w:r>
      <w:r w:rsidR="003D64A0" w:rsidRPr="00161E75">
        <w:rPr>
          <w:rFonts w:ascii="Book Antiqua" w:hAnsi="Book Antiqua" w:cs="Arial"/>
          <w:szCs w:val="24"/>
        </w:rPr>
        <w:t>These included assumptions that</w:t>
      </w:r>
      <w:r w:rsidR="00580F84" w:rsidRPr="00D47EEA">
        <w:rPr>
          <w:rFonts w:ascii="Book Antiqua" w:hAnsi="Book Antiqua" w:cs="Arial"/>
          <w:szCs w:val="24"/>
        </w:rPr>
        <w:t xml:space="preserve"> </w:t>
      </w:r>
      <w:r w:rsidR="003D64A0" w:rsidRPr="00161E75">
        <w:rPr>
          <w:rFonts w:ascii="Book Antiqua" w:hAnsi="Book Antiqua" w:cs="Arial"/>
          <w:szCs w:val="24"/>
        </w:rPr>
        <w:t xml:space="preserve">delay in complaint </w:t>
      </w:r>
      <w:r w:rsidR="00C439FF">
        <w:rPr>
          <w:rFonts w:ascii="Book Antiqua" w:hAnsi="Book Antiqua" w:cs="Arial"/>
          <w:szCs w:val="24"/>
        </w:rPr>
        <w:t xml:space="preserve">evidenced </w:t>
      </w:r>
      <w:r w:rsidR="003D64A0" w:rsidRPr="00161E75">
        <w:rPr>
          <w:rFonts w:ascii="Book Antiqua" w:hAnsi="Book Antiqua" w:cs="Arial"/>
          <w:szCs w:val="24"/>
        </w:rPr>
        <w:t>consent</w:t>
      </w:r>
      <w:r w:rsidR="00C67792">
        <w:rPr>
          <w:rFonts w:ascii="Book Antiqua" w:hAnsi="Book Antiqua" w:cs="Arial"/>
          <w:szCs w:val="24"/>
        </w:rPr>
        <w:t>,</w:t>
      </w:r>
      <w:r w:rsidR="003D64A0" w:rsidRPr="007B7CF0">
        <w:rPr>
          <w:rStyle w:val="FootnoteReference"/>
          <w:rFonts w:ascii="Book Antiqua" w:hAnsi="Book Antiqua" w:cs="Arial"/>
          <w:szCs w:val="24"/>
        </w:rPr>
        <w:footnoteReference w:id="21"/>
      </w:r>
      <w:r w:rsidR="003D64A0" w:rsidRPr="007B7CF0">
        <w:rPr>
          <w:rFonts w:ascii="Book Antiqua" w:hAnsi="Book Antiqua" w:cs="Arial"/>
          <w:szCs w:val="24"/>
        </w:rPr>
        <w:t xml:space="preserve"> </w:t>
      </w:r>
      <w:r w:rsidR="00AF629B" w:rsidRPr="007B7CF0">
        <w:rPr>
          <w:rFonts w:ascii="Book Antiqua" w:hAnsi="Book Antiqua" w:cs="Arial"/>
          <w:szCs w:val="24"/>
        </w:rPr>
        <w:t xml:space="preserve">and </w:t>
      </w:r>
      <w:r w:rsidR="003D64A0" w:rsidRPr="007B7CF0">
        <w:rPr>
          <w:rFonts w:ascii="Book Antiqua" w:hAnsi="Book Antiqua" w:cs="Arial"/>
          <w:szCs w:val="24"/>
        </w:rPr>
        <w:t>that generally,</w:t>
      </w:r>
      <w:r w:rsidR="00AF629B" w:rsidRPr="007B7CF0">
        <w:rPr>
          <w:rFonts w:ascii="Book Antiqua" w:hAnsi="Book Antiqua" w:cs="Arial"/>
          <w:szCs w:val="24"/>
        </w:rPr>
        <w:t xml:space="preserve"> </w:t>
      </w:r>
      <w:r w:rsidR="003D64A0" w:rsidRPr="007B7CF0">
        <w:rPr>
          <w:rFonts w:ascii="Book Antiqua" w:hAnsi="Book Antiqua" w:cs="Arial"/>
          <w:szCs w:val="24"/>
        </w:rPr>
        <w:t>women were unreliable witnesses and prone to false accusations of rape</w:t>
      </w:r>
      <w:r w:rsidR="00AA266E" w:rsidRPr="007B7CF0">
        <w:rPr>
          <w:rFonts w:ascii="Book Antiqua" w:hAnsi="Book Antiqua" w:cs="Arial"/>
          <w:szCs w:val="24"/>
        </w:rPr>
        <w:t>.</w:t>
      </w:r>
      <w:r w:rsidR="0089482B">
        <w:rPr>
          <w:rStyle w:val="FootnoteReference"/>
          <w:rFonts w:ascii="Book Antiqua" w:hAnsi="Book Antiqua" w:cs="Arial"/>
          <w:szCs w:val="24"/>
        </w:rPr>
        <w:footnoteReference w:id="22"/>
      </w:r>
      <w:r w:rsidR="00AA266E" w:rsidRPr="007B7CF0">
        <w:rPr>
          <w:rFonts w:ascii="Book Antiqua" w:hAnsi="Book Antiqua" w:cs="Arial"/>
          <w:szCs w:val="24"/>
        </w:rPr>
        <w:t xml:space="preserve">  </w:t>
      </w:r>
      <w:r w:rsidR="004F0E68">
        <w:rPr>
          <w:rFonts w:ascii="Book Antiqua" w:hAnsi="Book Antiqua" w:cs="Arial"/>
          <w:szCs w:val="24"/>
        </w:rPr>
        <w:t>These</w:t>
      </w:r>
      <w:r w:rsidR="00C439FF">
        <w:rPr>
          <w:rFonts w:ascii="Book Antiqua" w:hAnsi="Book Antiqua" w:cs="Arial"/>
          <w:szCs w:val="24"/>
        </w:rPr>
        <w:t xml:space="preserve"> assumptio</w:t>
      </w:r>
      <w:r w:rsidR="00B72D88">
        <w:rPr>
          <w:rFonts w:ascii="Book Antiqua" w:hAnsi="Book Antiqua" w:cs="Arial"/>
          <w:szCs w:val="24"/>
        </w:rPr>
        <w:t>ns were the basis</w:t>
      </w:r>
      <w:r w:rsidR="00B12A81">
        <w:rPr>
          <w:rFonts w:ascii="Book Antiqua" w:hAnsi="Book Antiqua" w:cs="Arial"/>
          <w:szCs w:val="24"/>
        </w:rPr>
        <w:t xml:space="preserve"> of</w:t>
      </w:r>
      <w:r w:rsidR="00B72D88">
        <w:rPr>
          <w:rFonts w:ascii="Book Antiqua" w:hAnsi="Book Antiqua" w:cs="Arial"/>
          <w:szCs w:val="24"/>
        </w:rPr>
        <w:t xml:space="preserve"> </w:t>
      </w:r>
      <w:r w:rsidR="00AA266E" w:rsidRPr="007B060A">
        <w:rPr>
          <w:rFonts w:ascii="Book Antiqua" w:hAnsi="Book Antiqua" w:cs="Arial"/>
          <w:szCs w:val="24"/>
        </w:rPr>
        <w:t xml:space="preserve">jury </w:t>
      </w:r>
      <w:r w:rsidR="003D64A0" w:rsidRPr="007B060A">
        <w:rPr>
          <w:rFonts w:ascii="Book Antiqua" w:hAnsi="Book Antiqua" w:cs="Arial"/>
          <w:szCs w:val="24"/>
        </w:rPr>
        <w:t>direction</w:t>
      </w:r>
      <w:r w:rsidR="00B72D88">
        <w:rPr>
          <w:rFonts w:ascii="Book Antiqua" w:hAnsi="Book Antiqua" w:cs="Arial"/>
          <w:szCs w:val="24"/>
        </w:rPr>
        <w:t>s</w:t>
      </w:r>
      <w:r w:rsidR="003D64A0" w:rsidRPr="007B060A">
        <w:rPr>
          <w:rFonts w:ascii="Book Antiqua" w:hAnsi="Book Antiqua" w:cs="Arial"/>
          <w:szCs w:val="24"/>
        </w:rPr>
        <w:t xml:space="preserve"> cautioning the danger of convicting unless the complainant’s evidence was corroborated</w:t>
      </w:r>
      <w:r w:rsidR="00B72D88">
        <w:rPr>
          <w:rFonts w:ascii="Book Antiqua" w:hAnsi="Book Antiqua" w:cs="Arial"/>
          <w:szCs w:val="24"/>
        </w:rPr>
        <w:t>.</w:t>
      </w:r>
      <w:r w:rsidR="003D64A0" w:rsidRPr="007B7CF0">
        <w:rPr>
          <w:rStyle w:val="FootnoteReference"/>
          <w:rFonts w:ascii="Book Antiqua" w:hAnsi="Book Antiqua" w:cs="Arial"/>
          <w:szCs w:val="24"/>
        </w:rPr>
        <w:footnoteReference w:id="23"/>
      </w:r>
      <w:r w:rsidR="003D64A0" w:rsidRPr="007B7CF0">
        <w:rPr>
          <w:rFonts w:ascii="Book Antiqua" w:hAnsi="Book Antiqua" w:cs="Arial"/>
          <w:szCs w:val="24"/>
        </w:rPr>
        <w:t xml:space="preserve"> </w:t>
      </w:r>
      <w:r w:rsidR="008E7DBF">
        <w:rPr>
          <w:rFonts w:ascii="Book Antiqua" w:hAnsi="Book Antiqua" w:cs="Arial"/>
          <w:szCs w:val="24"/>
        </w:rPr>
        <w:t xml:space="preserve"> Another </w:t>
      </w:r>
      <w:r w:rsidR="00723B0C">
        <w:rPr>
          <w:rFonts w:ascii="Book Antiqua" w:hAnsi="Book Antiqua" w:cs="Arial"/>
          <w:szCs w:val="24"/>
        </w:rPr>
        <w:t xml:space="preserve">attack on the </w:t>
      </w:r>
      <w:r w:rsidR="002B1C36" w:rsidRPr="007B7CF0">
        <w:rPr>
          <w:rFonts w:ascii="Book Antiqua" w:hAnsi="Book Antiqua" w:cs="Arial"/>
          <w:szCs w:val="24"/>
        </w:rPr>
        <w:t>reliability of a complainant’s testimony</w:t>
      </w:r>
      <w:r w:rsidR="00723B0C">
        <w:rPr>
          <w:rFonts w:ascii="Book Antiqua" w:hAnsi="Book Antiqua" w:cs="Arial"/>
          <w:szCs w:val="24"/>
        </w:rPr>
        <w:t xml:space="preserve"> </w:t>
      </w:r>
      <w:r w:rsidR="00AA266E" w:rsidRPr="007B7CF0">
        <w:rPr>
          <w:rFonts w:ascii="Book Antiqua" w:hAnsi="Book Antiqua" w:cs="Arial"/>
          <w:szCs w:val="24"/>
        </w:rPr>
        <w:t>involved eliciting</w:t>
      </w:r>
      <w:r w:rsidR="00070026">
        <w:rPr>
          <w:rFonts w:ascii="Book Antiqua" w:hAnsi="Book Antiqua" w:cs="Arial"/>
          <w:szCs w:val="24"/>
        </w:rPr>
        <w:t xml:space="preserve"> </w:t>
      </w:r>
      <w:r w:rsidR="003D64A0" w:rsidRPr="007B7CF0">
        <w:rPr>
          <w:rFonts w:ascii="Book Antiqua" w:hAnsi="Book Antiqua" w:cs="Arial"/>
          <w:szCs w:val="24"/>
        </w:rPr>
        <w:t>‘sexual reputation evidence’</w:t>
      </w:r>
      <w:r w:rsidR="00723B0C">
        <w:rPr>
          <w:rFonts w:ascii="Book Antiqua" w:hAnsi="Book Antiqua" w:cs="Arial"/>
          <w:szCs w:val="24"/>
        </w:rPr>
        <w:t xml:space="preserve">, </w:t>
      </w:r>
      <w:r w:rsidR="006F0DCD">
        <w:rPr>
          <w:rFonts w:ascii="Book Antiqua" w:hAnsi="Book Antiqua" w:cs="Arial"/>
          <w:szCs w:val="24"/>
        </w:rPr>
        <w:t>by way of cross-examination</w:t>
      </w:r>
      <w:r w:rsidR="003D64A0" w:rsidRPr="007B7CF0">
        <w:rPr>
          <w:rFonts w:ascii="Book Antiqua" w:hAnsi="Book Antiqua" w:cs="Arial"/>
          <w:szCs w:val="24"/>
        </w:rPr>
        <w:t xml:space="preserve"> </w:t>
      </w:r>
      <w:r w:rsidR="00AA266E" w:rsidRPr="007B7CF0">
        <w:rPr>
          <w:rFonts w:ascii="Book Antiqua" w:hAnsi="Book Antiqua" w:cs="Arial"/>
          <w:szCs w:val="24"/>
        </w:rPr>
        <w:t xml:space="preserve">of a </w:t>
      </w:r>
      <w:r w:rsidR="003D64A0" w:rsidRPr="007B7CF0">
        <w:rPr>
          <w:rFonts w:ascii="Book Antiqua" w:hAnsi="Book Antiqua" w:cs="Arial"/>
          <w:szCs w:val="24"/>
        </w:rPr>
        <w:t>complainant’s sexual experience with the accused or other</w:t>
      </w:r>
      <w:r w:rsidR="00AA266E" w:rsidRPr="007B7CF0">
        <w:rPr>
          <w:rFonts w:ascii="Book Antiqua" w:hAnsi="Book Antiqua" w:cs="Arial"/>
          <w:szCs w:val="24"/>
        </w:rPr>
        <w:t xml:space="preserve">s, </w:t>
      </w:r>
      <w:r w:rsidR="006F0DCD">
        <w:rPr>
          <w:rFonts w:ascii="Book Antiqua" w:hAnsi="Book Antiqua" w:cs="Arial"/>
          <w:szCs w:val="24"/>
        </w:rPr>
        <w:t xml:space="preserve">purportedly </w:t>
      </w:r>
      <w:r w:rsidR="00070026">
        <w:rPr>
          <w:rFonts w:ascii="Book Antiqua" w:hAnsi="Book Antiqua" w:cs="Arial"/>
          <w:szCs w:val="24"/>
        </w:rPr>
        <w:t xml:space="preserve">on the basis of relevance </w:t>
      </w:r>
      <w:r w:rsidR="003D64A0" w:rsidRPr="007B7CF0">
        <w:rPr>
          <w:rFonts w:ascii="Book Antiqua" w:hAnsi="Book Antiqua" w:cs="Arial"/>
          <w:szCs w:val="24"/>
        </w:rPr>
        <w:t>to consent</w:t>
      </w:r>
      <w:r w:rsidR="006F0DCD">
        <w:rPr>
          <w:rFonts w:ascii="Book Antiqua" w:hAnsi="Book Antiqua" w:cs="Arial"/>
          <w:szCs w:val="24"/>
        </w:rPr>
        <w:t xml:space="preserve"> on the occasion </w:t>
      </w:r>
      <w:r w:rsidR="008678A4">
        <w:rPr>
          <w:rFonts w:ascii="Book Antiqua" w:hAnsi="Book Antiqua" w:cs="Arial"/>
          <w:szCs w:val="24"/>
        </w:rPr>
        <w:t>of the charged incident.</w:t>
      </w:r>
      <w:r w:rsidR="003D64A0" w:rsidRPr="007B7CF0">
        <w:rPr>
          <w:rStyle w:val="FootnoteReference"/>
          <w:rFonts w:ascii="Book Antiqua" w:hAnsi="Book Antiqua" w:cs="Arial"/>
          <w:szCs w:val="24"/>
        </w:rPr>
        <w:footnoteReference w:id="24"/>
      </w:r>
      <w:r w:rsidR="003D64A0" w:rsidRPr="007B7CF0">
        <w:rPr>
          <w:rFonts w:ascii="Book Antiqua" w:hAnsi="Book Antiqua" w:cs="Arial"/>
          <w:szCs w:val="24"/>
        </w:rPr>
        <w:t xml:space="preserve"> </w:t>
      </w:r>
    </w:p>
    <w:p w14:paraId="69C5F2DA" w14:textId="41D9C5BA" w:rsidR="003D64A0" w:rsidRPr="007B7CF0" w:rsidRDefault="003D64A0" w:rsidP="007B7CF0">
      <w:pPr>
        <w:pStyle w:val="NumParra"/>
        <w:jc w:val="both"/>
        <w:rPr>
          <w:rFonts w:ascii="Book Antiqua" w:hAnsi="Book Antiqua" w:cs="Arial"/>
          <w:szCs w:val="24"/>
        </w:rPr>
      </w:pPr>
      <w:r w:rsidRPr="007B7CF0">
        <w:rPr>
          <w:rFonts w:ascii="Book Antiqua" w:hAnsi="Book Antiqua" w:cs="Arial"/>
          <w:szCs w:val="24"/>
        </w:rPr>
        <w:t xml:space="preserve">Major reforms came in 1981. </w:t>
      </w:r>
      <w:r w:rsidR="00AA266E" w:rsidRPr="007B7CF0">
        <w:rPr>
          <w:rFonts w:ascii="Book Antiqua" w:hAnsi="Book Antiqua" w:cs="Arial"/>
          <w:szCs w:val="24"/>
        </w:rPr>
        <w:t xml:space="preserve"> </w:t>
      </w:r>
      <w:r w:rsidRPr="007B7CF0">
        <w:rPr>
          <w:rFonts w:ascii="Book Antiqua" w:hAnsi="Book Antiqua" w:cs="Arial"/>
          <w:szCs w:val="24"/>
        </w:rPr>
        <w:t xml:space="preserve">The </w:t>
      </w:r>
      <w:r w:rsidRPr="007B7CF0">
        <w:rPr>
          <w:rFonts w:ascii="Book Antiqua" w:hAnsi="Book Antiqua" w:cs="Arial"/>
          <w:i/>
          <w:iCs/>
          <w:szCs w:val="24"/>
        </w:rPr>
        <w:t>Crimes (Sexual Assault) Amendment Act 1981</w:t>
      </w:r>
      <w:r w:rsidR="002D033A" w:rsidRPr="007B7CF0">
        <w:rPr>
          <w:rFonts w:ascii="Book Antiqua" w:hAnsi="Book Antiqua" w:cs="Arial"/>
          <w:i/>
          <w:iCs/>
          <w:szCs w:val="24"/>
        </w:rPr>
        <w:t xml:space="preserve"> </w:t>
      </w:r>
      <w:r w:rsidR="002D033A" w:rsidRPr="007B7CF0">
        <w:rPr>
          <w:rFonts w:ascii="Book Antiqua" w:hAnsi="Book Antiqua" w:cs="Arial"/>
          <w:szCs w:val="24"/>
        </w:rPr>
        <w:t>(NSW)</w:t>
      </w:r>
      <w:r w:rsidRPr="007B7CF0">
        <w:rPr>
          <w:rFonts w:ascii="Book Antiqua" w:hAnsi="Book Antiqua" w:cs="Arial"/>
          <w:szCs w:val="24"/>
        </w:rPr>
        <w:t xml:space="preserve"> was introduced </w:t>
      </w:r>
      <w:r w:rsidR="00AA266E" w:rsidRPr="007B7CF0">
        <w:rPr>
          <w:rFonts w:ascii="Book Antiqua" w:hAnsi="Book Antiqua" w:cs="Arial"/>
          <w:szCs w:val="24"/>
        </w:rPr>
        <w:t xml:space="preserve">to: </w:t>
      </w:r>
      <w:r w:rsidRPr="007B7CF0">
        <w:rPr>
          <w:rFonts w:ascii="Book Antiqua" w:hAnsi="Book Antiqua" w:cs="Arial"/>
          <w:szCs w:val="24"/>
        </w:rPr>
        <w:t>‘protect complainants from further victimization under the legal process; encourage</w:t>
      </w:r>
      <w:r w:rsidR="00AA266E" w:rsidRPr="007B7CF0">
        <w:rPr>
          <w:rFonts w:ascii="Book Antiqua" w:hAnsi="Book Antiqua" w:cs="Arial"/>
          <w:szCs w:val="24"/>
        </w:rPr>
        <w:t xml:space="preserve"> </w:t>
      </w:r>
      <w:r w:rsidRPr="007B7CF0">
        <w:rPr>
          <w:rFonts w:ascii="Book Antiqua" w:hAnsi="Book Antiqua" w:cs="Arial"/>
          <w:szCs w:val="24"/>
        </w:rPr>
        <w:t>victims to report offences; facilitate</w:t>
      </w:r>
      <w:r w:rsidR="00AA266E" w:rsidRPr="007B7CF0">
        <w:rPr>
          <w:rFonts w:ascii="Book Antiqua" w:hAnsi="Book Antiqua" w:cs="Arial"/>
          <w:szCs w:val="24"/>
        </w:rPr>
        <w:t xml:space="preserve"> </w:t>
      </w:r>
      <w:r w:rsidRPr="007B7CF0">
        <w:rPr>
          <w:rFonts w:ascii="Book Antiqua" w:hAnsi="Book Antiqua" w:cs="Arial"/>
          <w:szCs w:val="24"/>
        </w:rPr>
        <w:t xml:space="preserve">the administration of justice and conviction of guilty offenders whilst preserving the traditional rights of the accused; and </w:t>
      </w:r>
      <w:r w:rsidR="00AA266E" w:rsidRPr="007B7CF0">
        <w:rPr>
          <w:rFonts w:ascii="Book Antiqua" w:hAnsi="Book Antiqua" w:cs="Arial"/>
          <w:szCs w:val="24"/>
        </w:rPr>
        <w:t>to serve</w:t>
      </w:r>
      <w:r w:rsidR="00227D01" w:rsidRPr="007B7CF0">
        <w:rPr>
          <w:rFonts w:ascii="Book Antiqua" w:hAnsi="Book Antiqua" w:cs="Arial"/>
          <w:szCs w:val="24"/>
        </w:rPr>
        <w:t xml:space="preserve"> as</w:t>
      </w:r>
      <w:r w:rsidRPr="007B7CF0">
        <w:rPr>
          <w:rFonts w:ascii="Book Antiqua" w:hAnsi="Book Antiqua" w:cs="Arial"/>
          <w:szCs w:val="24"/>
        </w:rPr>
        <w:t xml:space="preserve"> an educative function in further changing community attitudes.</w:t>
      </w:r>
      <w:r w:rsidR="00AF629B" w:rsidRPr="007B7CF0">
        <w:rPr>
          <w:rFonts w:ascii="Book Antiqua" w:hAnsi="Book Antiqua" w:cs="Arial"/>
          <w:szCs w:val="24"/>
        </w:rPr>
        <w:t>’</w:t>
      </w:r>
      <w:r w:rsidRPr="007B7CF0">
        <w:rPr>
          <w:rStyle w:val="FootnoteReference"/>
          <w:rFonts w:ascii="Book Antiqua" w:hAnsi="Book Antiqua" w:cs="Arial"/>
          <w:szCs w:val="24"/>
        </w:rPr>
        <w:footnoteReference w:id="25"/>
      </w:r>
      <w:r w:rsidRPr="007B7CF0">
        <w:rPr>
          <w:rFonts w:ascii="Book Antiqua" w:hAnsi="Book Antiqua" w:cs="Arial"/>
          <w:szCs w:val="24"/>
        </w:rPr>
        <w:t xml:space="preserve">  </w:t>
      </w:r>
      <w:r w:rsidR="00227D01" w:rsidRPr="007B7CF0">
        <w:rPr>
          <w:rFonts w:ascii="Book Antiqua" w:hAnsi="Book Antiqua" w:cs="Arial"/>
          <w:szCs w:val="24"/>
        </w:rPr>
        <w:t xml:space="preserve">The requirement </w:t>
      </w:r>
      <w:r w:rsidRPr="007B7CF0">
        <w:rPr>
          <w:rFonts w:ascii="Book Antiqua" w:hAnsi="Book Antiqua" w:cs="Arial"/>
          <w:szCs w:val="24"/>
        </w:rPr>
        <w:t>for corroboration</w:t>
      </w:r>
      <w:r w:rsidR="00227D01" w:rsidRPr="007B7CF0">
        <w:rPr>
          <w:rFonts w:ascii="Book Antiqua" w:hAnsi="Book Antiqua" w:cs="Arial"/>
          <w:szCs w:val="24"/>
        </w:rPr>
        <w:t xml:space="preserve"> was removed</w:t>
      </w:r>
      <w:r w:rsidRPr="007B7CF0">
        <w:rPr>
          <w:rFonts w:ascii="Book Antiqua" w:hAnsi="Book Antiqua" w:cs="Arial"/>
          <w:szCs w:val="24"/>
        </w:rPr>
        <w:t xml:space="preserve">. </w:t>
      </w:r>
      <w:r w:rsidR="00227D01" w:rsidRPr="007B7CF0">
        <w:rPr>
          <w:rFonts w:ascii="Book Antiqua" w:hAnsi="Book Antiqua" w:cs="Arial"/>
          <w:szCs w:val="24"/>
        </w:rPr>
        <w:t xml:space="preserve"> </w:t>
      </w:r>
      <w:r w:rsidR="00AF629B" w:rsidRPr="007B7CF0">
        <w:rPr>
          <w:rFonts w:ascii="Book Antiqua" w:hAnsi="Book Antiqua" w:cs="Arial"/>
          <w:szCs w:val="24"/>
        </w:rPr>
        <w:t xml:space="preserve">Instead, </w:t>
      </w:r>
      <w:r w:rsidRPr="007B7CF0">
        <w:rPr>
          <w:rFonts w:ascii="Book Antiqua" w:hAnsi="Book Antiqua" w:cs="Arial"/>
          <w:szCs w:val="24"/>
        </w:rPr>
        <w:t>the trial judge was to warn the jury that</w:t>
      </w:r>
      <w:r w:rsidR="00AF629B" w:rsidRPr="007B7CF0">
        <w:rPr>
          <w:rFonts w:ascii="Book Antiqua" w:hAnsi="Book Antiqua" w:cs="Arial"/>
          <w:szCs w:val="24"/>
        </w:rPr>
        <w:t xml:space="preserve"> ‘the absence of complaint or delay in complaining does not necessarily indicate that the allegation that the offence was committed is false’ and that there</w:t>
      </w:r>
      <w:r w:rsidRPr="007B7CF0">
        <w:rPr>
          <w:rFonts w:ascii="Book Antiqua" w:hAnsi="Book Antiqua" w:cs="Arial"/>
          <w:szCs w:val="24"/>
        </w:rPr>
        <w:t xml:space="preserve"> ‘may be good </w:t>
      </w:r>
      <w:r w:rsidRPr="007B7CF0">
        <w:rPr>
          <w:rFonts w:ascii="Book Antiqua" w:hAnsi="Book Antiqua" w:cs="Arial"/>
          <w:szCs w:val="24"/>
        </w:rPr>
        <w:lastRenderedPageBreak/>
        <w:t>reason</w:t>
      </w:r>
      <w:r w:rsidR="00AF629B" w:rsidRPr="007B7CF0">
        <w:rPr>
          <w:rFonts w:ascii="Book Antiqua" w:hAnsi="Book Antiqua" w:cs="Arial"/>
          <w:szCs w:val="24"/>
        </w:rPr>
        <w:t>s why a victim of sexual assault may hesitate in making, or may refrain from making, a complaint about the assault’.</w:t>
      </w:r>
      <w:r w:rsidR="00AF629B" w:rsidRPr="007B7CF0">
        <w:rPr>
          <w:rStyle w:val="FootnoteReference"/>
          <w:rFonts w:ascii="Book Antiqua" w:hAnsi="Book Antiqua" w:cs="Arial"/>
          <w:szCs w:val="24"/>
        </w:rPr>
        <w:footnoteReference w:id="26"/>
      </w:r>
      <w:r w:rsidRPr="007B7CF0">
        <w:rPr>
          <w:rFonts w:ascii="Book Antiqua" w:hAnsi="Book Antiqua" w:cs="Arial"/>
          <w:szCs w:val="24"/>
        </w:rPr>
        <w:t xml:space="preserve"> </w:t>
      </w:r>
    </w:p>
    <w:p w14:paraId="6A029432" w14:textId="5DEB4B2F" w:rsidR="003D64A0" w:rsidRPr="007B7CF0" w:rsidRDefault="003D64A0" w:rsidP="007B7CF0">
      <w:pPr>
        <w:pStyle w:val="NumParra"/>
        <w:jc w:val="both"/>
        <w:rPr>
          <w:rFonts w:ascii="Book Antiqua" w:hAnsi="Book Antiqua" w:cs="Arial"/>
          <w:szCs w:val="24"/>
        </w:rPr>
      </w:pPr>
      <w:r w:rsidRPr="007B7CF0">
        <w:rPr>
          <w:rFonts w:ascii="Book Antiqua" w:hAnsi="Book Antiqua" w:cs="Arial"/>
          <w:szCs w:val="24"/>
        </w:rPr>
        <w:t xml:space="preserve">The reforms were hailed as effective. </w:t>
      </w:r>
      <w:r w:rsidR="00883950">
        <w:rPr>
          <w:rFonts w:ascii="Book Antiqua" w:hAnsi="Book Antiqua" w:cs="Arial"/>
          <w:szCs w:val="24"/>
        </w:rPr>
        <w:t xml:space="preserve"> </w:t>
      </w:r>
      <w:r w:rsidRPr="007B7CF0">
        <w:rPr>
          <w:rFonts w:ascii="Book Antiqua" w:hAnsi="Book Antiqua" w:cs="Arial"/>
          <w:szCs w:val="24"/>
        </w:rPr>
        <w:t xml:space="preserve">In the 18 months following their </w:t>
      </w:r>
      <w:r w:rsidR="00227D01" w:rsidRPr="007B7CF0">
        <w:rPr>
          <w:rFonts w:ascii="Book Antiqua" w:hAnsi="Book Antiqua" w:cs="Arial"/>
          <w:szCs w:val="24"/>
        </w:rPr>
        <w:t>introduction</w:t>
      </w:r>
      <w:r w:rsidRPr="007B7CF0">
        <w:rPr>
          <w:rFonts w:ascii="Book Antiqua" w:hAnsi="Book Antiqua" w:cs="Arial"/>
          <w:szCs w:val="24"/>
        </w:rPr>
        <w:t>, sexual offence reporting rose by 15.4%</w:t>
      </w:r>
      <w:r w:rsidR="0004485D">
        <w:rPr>
          <w:rFonts w:ascii="Book Antiqua" w:hAnsi="Book Antiqua" w:cs="Arial"/>
          <w:szCs w:val="24"/>
        </w:rPr>
        <w:t xml:space="preserve"> and </w:t>
      </w:r>
      <w:r w:rsidRPr="007B7CF0">
        <w:rPr>
          <w:rFonts w:ascii="Book Antiqua" w:hAnsi="Book Antiqua" w:cs="Arial"/>
          <w:szCs w:val="24"/>
        </w:rPr>
        <w:t>police acceptance of reports rose</w:t>
      </w:r>
      <w:r w:rsidR="0004485D">
        <w:rPr>
          <w:rFonts w:ascii="Book Antiqua" w:hAnsi="Book Antiqua" w:cs="Arial"/>
          <w:szCs w:val="24"/>
        </w:rPr>
        <w:t xml:space="preserve"> by</w:t>
      </w:r>
      <w:r w:rsidRPr="007B7CF0">
        <w:rPr>
          <w:rFonts w:ascii="Book Antiqua" w:hAnsi="Book Antiqua" w:cs="Arial"/>
          <w:szCs w:val="24"/>
        </w:rPr>
        <w:t xml:space="preserve"> 25.3%</w:t>
      </w:r>
      <w:r w:rsidR="00070026">
        <w:rPr>
          <w:rFonts w:ascii="Book Antiqua" w:hAnsi="Book Antiqua" w:cs="Arial"/>
          <w:szCs w:val="24"/>
        </w:rPr>
        <w:t>.</w:t>
      </w:r>
      <w:r w:rsidR="00070026">
        <w:rPr>
          <w:rStyle w:val="FootnoteReference"/>
          <w:rFonts w:ascii="Book Antiqua" w:hAnsi="Book Antiqua" w:cs="Arial"/>
          <w:szCs w:val="24"/>
        </w:rPr>
        <w:footnoteReference w:id="27"/>
      </w:r>
      <w:r w:rsidR="008305C3">
        <w:rPr>
          <w:rFonts w:ascii="Book Antiqua" w:hAnsi="Book Antiqua" w:cs="Arial"/>
          <w:szCs w:val="24"/>
        </w:rPr>
        <w:t xml:space="preserve"> There </w:t>
      </w:r>
      <w:r w:rsidR="0004485D" w:rsidRPr="007B7CF0">
        <w:rPr>
          <w:rFonts w:ascii="Book Antiqua" w:hAnsi="Book Antiqua" w:cs="Arial"/>
          <w:szCs w:val="24"/>
        </w:rPr>
        <w:t>was an increase of 11.5% in guilty pleas to charges</w:t>
      </w:r>
      <w:r w:rsidRPr="007B7CF0">
        <w:rPr>
          <w:rFonts w:ascii="Book Antiqua" w:hAnsi="Book Antiqua" w:cs="Arial"/>
          <w:szCs w:val="24"/>
        </w:rPr>
        <w:t>.</w:t>
      </w:r>
      <w:r w:rsidR="0004485D">
        <w:rPr>
          <w:rStyle w:val="FootnoteReference"/>
          <w:rFonts w:ascii="Book Antiqua" w:hAnsi="Book Antiqua" w:cs="Arial"/>
          <w:szCs w:val="24"/>
        </w:rPr>
        <w:footnoteReference w:id="28"/>
      </w:r>
      <w:r w:rsidR="00722DB6">
        <w:rPr>
          <w:rFonts w:ascii="Book Antiqua" w:hAnsi="Book Antiqua" w:cs="Arial"/>
          <w:szCs w:val="24"/>
        </w:rPr>
        <w:t xml:space="preserve"> </w:t>
      </w:r>
      <w:r w:rsidRPr="007B7CF0">
        <w:rPr>
          <w:rFonts w:ascii="Book Antiqua" w:hAnsi="Book Antiqua" w:cs="Arial"/>
          <w:szCs w:val="24"/>
        </w:rPr>
        <w:t xml:space="preserve"> </w:t>
      </w:r>
      <w:r w:rsidR="008305C3">
        <w:rPr>
          <w:rFonts w:ascii="Book Antiqua" w:hAnsi="Book Antiqua" w:cs="Arial"/>
          <w:szCs w:val="24"/>
        </w:rPr>
        <w:t>F</w:t>
      </w:r>
      <w:r w:rsidRPr="007B7CF0">
        <w:rPr>
          <w:rFonts w:ascii="Book Antiqua" w:hAnsi="Book Antiqua" w:cs="Arial"/>
          <w:szCs w:val="24"/>
        </w:rPr>
        <w:t>urther reforms followed in 1989, with which you will be familiar</w:t>
      </w:r>
      <w:r w:rsidR="008305C3">
        <w:rPr>
          <w:rFonts w:ascii="Book Antiqua" w:hAnsi="Book Antiqua" w:cs="Arial"/>
          <w:szCs w:val="24"/>
        </w:rPr>
        <w:t>.  S</w:t>
      </w:r>
      <w:r w:rsidR="008305C3" w:rsidRPr="007B7CF0">
        <w:rPr>
          <w:rFonts w:ascii="Book Antiqua" w:hAnsi="Book Antiqua" w:cs="Arial"/>
          <w:szCs w:val="24"/>
        </w:rPr>
        <w:t xml:space="preserve">exual </w:t>
      </w:r>
      <w:r w:rsidRPr="007B7CF0">
        <w:rPr>
          <w:rFonts w:ascii="Book Antiqua" w:hAnsi="Book Antiqua" w:cs="Arial"/>
          <w:szCs w:val="24"/>
        </w:rPr>
        <w:t>assault offences were categorised into 3 types</w:t>
      </w:r>
      <w:r w:rsidR="00B07227">
        <w:rPr>
          <w:rFonts w:ascii="Book Antiqua" w:hAnsi="Book Antiqua" w:cs="Arial"/>
          <w:szCs w:val="24"/>
        </w:rPr>
        <w:t xml:space="preserve"> of offending</w:t>
      </w:r>
      <w:r w:rsidRPr="007B7CF0">
        <w:rPr>
          <w:rFonts w:ascii="Book Antiqua" w:hAnsi="Book Antiqua" w:cs="Arial"/>
          <w:szCs w:val="24"/>
        </w:rPr>
        <w:t xml:space="preserve"> and maximum penalties for offences were significantly increase</w:t>
      </w:r>
      <w:r w:rsidR="00C53B56">
        <w:rPr>
          <w:rFonts w:ascii="Book Antiqua" w:hAnsi="Book Antiqua" w:cs="Arial"/>
          <w:szCs w:val="24"/>
        </w:rPr>
        <w:t>d</w:t>
      </w:r>
      <w:r w:rsidR="00D877E3">
        <w:rPr>
          <w:rFonts w:ascii="Book Antiqua" w:hAnsi="Book Antiqua" w:cs="Arial"/>
          <w:szCs w:val="24"/>
        </w:rPr>
        <w:t xml:space="preserve">. </w:t>
      </w:r>
      <w:r w:rsidR="00B07227">
        <w:rPr>
          <w:rFonts w:ascii="Book Antiqua" w:hAnsi="Book Antiqua" w:cs="Arial"/>
          <w:szCs w:val="24"/>
        </w:rPr>
        <w:t>Notably, t</w:t>
      </w:r>
      <w:r w:rsidR="00D877E3">
        <w:rPr>
          <w:rFonts w:ascii="Book Antiqua" w:hAnsi="Book Antiqua" w:cs="Arial"/>
          <w:szCs w:val="24"/>
        </w:rPr>
        <w:t xml:space="preserve">he </w:t>
      </w:r>
      <w:r w:rsidRPr="007B7CF0">
        <w:rPr>
          <w:rFonts w:ascii="Book Antiqua" w:hAnsi="Book Antiqua" w:cs="Arial"/>
          <w:szCs w:val="24"/>
        </w:rPr>
        <w:t>penalty for the offence</w:t>
      </w:r>
      <w:r w:rsidR="00AF629B" w:rsidRPr="007B7CF0">
        <w:rPr>
          <w:rFonts w:ascii="Book Antiqua" w:hAnsi="Book Antiqua" w:cs="Arial"/>
          <w:szCs w:val="24"/>
        </w:rPr>
        <w:t xml:space="preserve"> of sexual assault </w:t>
      </w:r>
      <w:r w:rsidR="000723E4">
        <w:rPr>
          <w:rFonts w:ascii="Book Antiqua" w:hAnsi="Book Antiqua" w:cs="Arial"/>
          <w:szCs w:val="24"/>
        </w:rPr>
        <w:t>increased</w:t>
      </w:r>
      <w:r w:rsidR="00D877E3" w:rsidRPr="007B7CF0">
        <w:rPr>
          <w:rFonts w:ascii="Book Antiqua" w:hAnsi="Book Antiqua" w:cs="Arial"/>
          <w:szCs w:val="24"/>
        </w:rPr>
        <w:t xml:space="preserve"> </w:t>
      </w:r>
      <w:r w:rsidRPr="007B7CF0">
        <w:rPr>
          <w:rFonts w:ascii="Book Antiqua" w:hAnsi="Book Antiqua" w:cs="Arial"/>
          <w:szCs w:val="24"/>
        </w:rPr>
        <w:t xml:space="preserve">from </w:t>
      </w:r>
      <w:r w:rsidR="002F718E">
        <w:rPr>
          <w:rFonts w:ascii="Book Antiqua" w:hAnsi="Book Antiqua" w:cs="Arial"/>
          <w:szCs w:val="24"/>
        </w:rPr>
        <w:t>eight</w:t>
      </w:r>
      <w:r w:rsidRPr="007B7CF0">
        <w:rPr>
          <w:rFonts w:ascii="Book Antiqua" w:hAnsi="Book Antiqua" w:cs="Arial"/>
          <w:szCs w:val="24"/>
        </w:rPr>
        <w:t xml:space="preserve"> to 14 years and </w:t>
      </w:r>
      <w:r w:rsidR="002F718E">
        <w:rPr>
          <w:rFonts w:ascii="Book Antiqua" w:hAnsi="Book Antiqua" w:cs="Arial"/>
          <w:szCs w:val="24"/>
        </w:rPr>
        <w:t>the penalty for</w:t>
      </w:r>
      <w:r w:rsidR="00D877E3">
        <w:rPr>
          <w:rFonts w:ascii="Book Antiqua" w:hAnsi="Book Antiqua" w:cs="Arial"/>
          <w:szCs w:val="24"/>
        </w:rPr>
        <w:t xml:space="preserve"> </w:t>
      </w:r>
      <w:r w:rsidRPr="007B7CF0">
        <w:rPr>
          <w:rFonts w:ascii="Book Antiqua" w:hAnsi="Book Antiqua" w:cs="Arial"/>
          <w:szCs w:val="24"/>
        </w:rPr>
        <w:t xml:space="preserve">aggravated offences </w:t>
      </w:r>
      <w:r w:rsidR="000723E4">
        <w:rPr>
          <w:rFonts w:ascii="Book Antiqua" w:hAnsi="Book Antiqua" w:cs="Arial"/>
          <w:szCs w:val="24"/>
        </w:rPr>
        <w:t>increased</w:t>
      </w:r>
      <w:r w:rsidR="00C53B56">
        <w:rPr>
          <w:rFonts w:ascii="Book Antiqua" w:hAnsi="Book Antiqua" w:cs="Arial"/>
          <w:szCs w:val="24"/>
        </w:rPr>
        <w:t xml:space="preserve"> </w:t>
      </w:r>
      <w:r w:rsidRPr="007B7CF0">
        <w:rPr>
          <w:rFonts w:ascii="Book Antiqua" w:hAnsi="Book Antiqua" w:cs="Arial"/>
          <w:szCs w:val="24"/>
        </w:rPr>
        <w:t>from 14 to 20 years.</w:t>
      </w:r>
      <w:r w:rsidR="00B3034C" w:rsidRPr="007B7CF0">
        <w:rPr>
          <w:rStyle w:val="FootnoteReference"/>
          <w:rFonts w:ascii="Book Antiqua" w:hAnsi="Book Antiqua" w:cs="Arial"/>
          <w:szCs w:val="24"/>
        </w:rPr>
        <w:footnoteReference w:id="29"/>
      </w:r>
      <w:r w:rsidRPr="007B7CF0">
        <w:rPr>
          <w:rFonts w:ascii="Book Antiqua" w:hAnsi="Book Antiqua" w:cs="Arial"/>
          <w:szCs w:val="24"/>
        </w:rPr>
        <w:t xml:space="preserve"> </w:t>
      </w:r>
    </w:p>
    <w:p w14:paraId="73A8A905" w14:textId="34D65528" w:rsidR="00C6056B" w:rsidRPr="00C6056B" w:rsidRDefault="008305C3" w:rsidP="00C6056B">
      <w:pPr>
        <w:pStyle w:val="NumParra"/>
        <w:jc w:val="both"/>
        <w:rPr>
          <w:rFonts w:ascii="Book Antiqua" w:hAnsi="Book Antiqua" w:cs="Arial"/>
          <w:szCs w:val="24"/>
        </w:rPr>
      </w:pPr>
      <w:r>
        <w:rPr>
          <w:rFonts w:ascii="Book Antiqua" w:hAnsi="Book Antiqua" w:cs="Arial"/>
          <w:szCs w:val="24"/>
        </w:rPr>
        <w:t>Despite these reforms,</w:t>
      </w:r>
      <w:r w:rsidR="003D64A0" w:rsidRPr="007B7CF0">
        <w:rPr>
          <w:rFonts w:ascii="Book Antiqua" w:hAnsi="Book Antiqua" w:cs="Arial"/>
          <w:szCs w:val="24"/>
        </w:rPr>
        <w:t xml:space="preserve"> the experience of complainants in criminal proceedings </w:t>
      </w:r>
      <w:r w:rsidR="00227D01" w:rsidRPr="007B7CF0">
        <w:rPr>
          <w:rFonts w:ascii="Book Antiqua" w:hAnsi="Book Antiqua" w:cs="Arial"/>
          <w:szCs w:val="24"/>
        </w:rPr>
        <w:t xml:space="preserve">has </w:t>
      </w:r>
      <w:r w:rsidR="003D64A0" w:rsidRPr="007B7CF0">
        <w:rPr>
          <w:rFonts w:ascii="Book Antiqua" w:hAnsi="Book Antiqua" w:cs="Arial"/>
          <w:szCs w:val="24"/>
        </w:rPr>
        <w:t>remained an issue.</w:t>
      </w:r>
      <w:r w:rsidR="005D3824">
        <w:rPr>
          <w:rFonts w:ascii="Book Antiqua" w:hAnsi="Book Antiqua" w:cs="Arial"/>
          <w:szCs w:val="24"/>
        </w:rPr>
        <w:t xml:space="preserve"> </w:t>
      </w:r>
      <w:r w:rsidR="003D64A0" w:rsidRPr="007B7CF0">
        <w:rPr>
          <w:rFonts w:ascii="Book Antiqua" w:hAnsi="Book Antiqua" w:cs="Arial"/>
          <w:szCs w:val="24"/>
        </w:rPr>
        <w:t xml:space="preserve"> </w:t>
      </w:r>
      <w:r w:rsidR="005E5D8D">
        <w:rPr>
          <w:rFonts w:ascii="Book Antiqua" w:hAnsi="Book Antiqua" w:cs="Arial"/>
          <w:szCs w:val="24"/>
        </w:rPr>
        <w:t xml:space="preserve">Between 1994-1995, </w:t>
      </w:r>
      <w:r w:rsidR="001B495A">
        <w:rPr>
          <w:rFonts w:ascii="Book Antiqua" w:hAnsi="Book Antiqua" w:cs="Arial"/>
          <w:szCs w:val="24"/>
        </w:rPr>
        <w:t>the Department for Women</w:t>
      </w:r>
      <w:r w:rsidR="003D64A0" w:rsidRPr="007B7CF0">
        <w:rPr>
          <w:rFonts w:ascii="Book Antiqua" w:hAnsi="Book Antiqua" w:cs="Arial"/>
          <w:szCs w:val="24"/>
        </w:rPr>
        <w:t xml:space="preserve"> conducted a study</w:t>
      </w:r>
      <w:r w:rsidR="00227D01" w:rsidRPr="007B7CF0">
        <w:rPr>
          <w:rFonts w:ascii="Book Antiqua" w:hAnsi="Book Antiqua" w:cs="Arial"/>
          <w:szCs w:val="24"/>
        </w:rPr>
        <w:t xml:space="preserve"> of </w:t>
      </w:r>
      <w:r w:rsidR="003D64A0" w:rsidRPr="007B7CF0">
        <w:rPr>
          <w:rFonts w:ascii="Book Antiqua" w:hAnsi="Book Antiqua" w:cs="Arial"/>
          <w:szCs w:val="24"/>
        </w:rPr>
        <w:t xml:space="preserve">111 sexual assault trials and 73 </w:t>
      </w:r>
      <w:r w:rsidR="00472CBB">
        <w:rPr>
          <w:rFonts w:ascii="Book Antiqua" w:hAnsi="Book Antiqua" w:cs="Arial"/>
          <w:szCs w:val="24"/>
        </w:rPr>
        <w:t>sentence</w:t>
      </w:r>
      <w:r w:rsidR="003D64A0" w:rsidRPr="007B7CF0">
        <w:rPr>
          <w:rFonts w:ascii="Book Antiqua" w:hAnsi="Book Antiqua" w:cs="Arial"/>
          <w:szCs w:val="24"/>
        </w:rPr>
        <w:t xml:space="preserve"> matters </w:t>
      </w:r>
      <w:r w:rsidR="006D714A" w:rsidRPr="007B7CF0">
        <w:rPr>
          <w:rFonts w:ascii="Book Antiqua" w:hAnsi="Book Antiqua" w:cs="Arial"/>
          <w:szCs w:val="24"/>
        </w:rPr>
        <w:t xml:space="preserve">in the </w:t>
      </w:r>
      <w:r w:rsidR="003D64A0" w:rsidRPr="007B7CF0">
        <w:rPr>
          <w:rFonts w:ascii="Book Antiqua" w:hAnsi="Book Antiqua" w:cs="Arial"/>
          <w:szCs w:val="24"/>
        </w:rPr>
        <w:t xml:space="preserve">District Court </w:t>
      </w:r>
      <w:r w:rsidR="003D64A0" w:rsidRPr="00161E75">
        <w:rPr>
          <w:rFonts w:ascii="Book Antiqua" w:hAnsi="Book Antiqua" w:cs="Arial"/>
          <w:szCs w:val="24"/>
        </w:rPr>
        <w:t>of NSW</w:t>
      </w:r>
      <w:r w:rsidR="00C059C6" w:rsidRPr="00161E75">
        <w:rPr>
          <w:rFonts w:ascii="Book Antiqua" w:hAnsi="Book Antiqua" w:cs="Arial"/>
          <w:szCs w:val="24"/>
        </w:rPr>
        <w:t>.</w:t>
      </w:r>
      <w:r w:rsidR="00C059C6" w:rsidRPr="00161E75">
        <w:rPr>
          <w:rStyle w:val="FootnoteReference"/>
          <w:rFonts w:ascii="Book Antiqua" w:hAnsi="Book Antiqua" w:cs="Arial"/>
          <w:szCs w:val="24"/>
        </w:rPr>
        <w:footnoteReference w:id="30"/>
      </w:r>
      <w:r w:rsidR="003D64A0" w:rsidRPr="000B32FA">
        <w:rPr>
          <w:rFonts w:ascii="Book Antiqua" w:hAnsi="Book Antiqua" w:cs="Arial"/>
          <w:szCs w:val="24"/>
        </w:rPr>
        <w:t xml:space="preserve"> </w:t>
      </w:r>
      <w:r w:rsidR="00227D01" w:rsidRPr="000B32FA">
        <w:rPr>
          <w:rFonts w:ascii="Book Antiqua" w:hAnsi="Book Antiqua" w:cs="Arial"/>
          <w:szCs w:val="24"/>
        </w:rPr>
        <w:t xml:space="preserve"> </w:t>
      </w:r>
      <w:r w:rsidR="007F5D59">
        <w:rPr>
          <w:rFonts w:ascii="Book Antiqua" w:hAnsi="Book Antiqua" w:cs="Arial"/>
          <w:szCs w:val="24"/>
        </w:rPr>
        <w:t>The study revealed the following</w:t>
      </w:r>
      <w:r w:rsidR="001F4D11" w:rsidRPr="00161E75">
        <w:rPr>
          <w:rFonts w:ascii="Book Antiqua" w:hAnsi="Book Antiqua" w:cs="Arial"/>
          <w:szCs w:val="24"/>
        </w:rPr>
        <w:t>:</w:t>
      </w:r>
      <w:r w:rsidR="00C6056B" w:rsidRPr="00C6056B">
        <w:rPr>
          <w:rFonts w:ascii="Book Antiqua" w:hAnsi="Book Antiqua" w:cs="Arial"/>
          <w:szCs w:val="24"/>
        </w:rPr>
        <w:t xml:space="preserve"> </w:t>
      </w:r>
      <w:r w:rsidR="00C6056B" w:rsidRPr="00D47EEA">
        <w:rPr>
          <w:rFonts w:ascii="Book Antiqua" w:hAnsi="Book Antiqua" w:cs="Arial"/>
          <w:szCs w:val="24"/>
        </w:rPr>
        <w:t xml:space="preserve">Aboriginal women </w:t>
      </w:r>
      <w:r w:rsidR="00C6056B" w:rsidRPr="007B7CF0">
        <w:rPr>
          <w:rFonts w:ascii="Book Antiqua" w:hAnsi="Book Antiqua" w:cs="Arial"/>
          <w:szCs w:val="24"/>
        </w:rPr>
        <w:t xml:space="preserve">were </w:t>
      </w:r>
      <w:r w:rsidR="00C6056B">
        <w:rPr>
          <w:rFonts w:ascii="Book Antiqua" w:hAnsi="Book Antiqua" w:cs="Arial"/>
          <w:szCs w:val="24"/>
        </w:rPr>
        <w:t>10</w:t>
      </w:r>
      <w:r w:rsidR="00C6056B" w:rsidRPr="007B7CF0">
        <w:rPr>
          <w:rFonts w:ascii="Book Antiqua" w:hAnsi="Book Antiqua" w:cs="Arial"/>
          <w:szCs w:val="24"/>
        </w:rPr>
        <w:t xml:space="preserve"> times more likely to be complainants in sexual assault hearings than non-Aboriginal women</w:t>
      </w:r>
      <w:r w:rsidR="00C6056B">
        <w:rPr>
          <w:rFonts w:ascii="Book Antiqua" w:hAnsi="Book Antiqua" w:cs="Arial"/>
          <w:szCs w:val="24"/>
        </w:rPr>
        <w:t>;</w:t>
      </w:r>
      <w:r w:rsidR="00C6056B" w:rsidRPr="00944E42">
        <w:rPr>
          <w:rFonts w:ascii="Book Antiqua" w:hAnsi="Book Antiqua"/>
          <w:vertAlign w:val="superscript"/>
        </w:rPr>
        <w:footnoteReference w:id="31"/>
      </w:r>
      <w:r w:rsidR="00C6056B" w:rsidRPr="00C6056B">
        <w:rPr>
          <w:rFonts w:ascii="Book Antiqua" w:hAnsi="Book Antiqua" w:cs="Arial"/>
          <w:szCs w:val="24"/>
        </w:rPr>
        <w:t xml:space="preserve"> </w:t>
      </w:r>
      <w:r w:rsidR="00944E42">
        <w:rPr>
          <w:rFonts w:ascii="Book Antiqua" w:hAnsi="Book Antiqua" w:cs="Arial"/>
          <w:szCs w:val="24"/>
        </w:rPr>
        <w:t>i</w:t>
      </w:r>
      <w:r w:rsidR="00C6056B" w:rsidRPr="007B7CF0">
        <w:rPr>
          <w:rFonts w:ascii="Book Antiqua" w:hAnsi="Book Antiqua" w:cs="Arial"/>
          <w:szCs w:val="24"/>
        </w:rPr>
        <w:t>n 65% of trials, there was an average of two interruptions because of distress suffered by complainants</w:t>
      </w:r>
      <w:r w:rsidR="00C6056B">
        <w:rPr>
          <w:rFonts w:ascii="Book Antiqua" w:hAnsi="Book Antiqua" w:cs="Arial"/>
          <w:szCs w:val="24"/>
        </w:rPr>
        <w:t>;</w:t>
      </w:r>
      <w:r w:rsidR="00C6056B" w:rsidRPr="00944E42">
        <w:rPr>
          <w:rFonts w:ascii="Book Antiqua" w:hAnsi="Book Antiqua"/>
          <w:vertAlign w:val="superscript"/>
        </w:rPr>
        <w:footnoteReference w:id="32"/>
      </w:r>
      <w:r w:rsidR="00C6056B" w:rsidRPr="00C6056B">
        <w:rPr>
          <w:rFonts w:ascii="Book Antiqua" w:hAnsi="Book Antiqua" w:cs="Arial"/>
          <w:szCs w:val="24"/>
        </w:rPr>
        <w:t xml:space="preserve"> </w:t>
      </w:r>
      <w:r w:rsidR="00C6056B" w:rsidRPr="007B7CF0">
        <w:rPr>
          <w:rFonts w:ascii="Book Antiqua" w:hAnsi="Book Antiqua" w:cs="Arial"/>
          <w:szCs w:val="24"/>
        </w:rPr>
        <w:t>52% of complainants were accused of making false reports based on ulterior motives such as vengeance or excuses for adultery</w:t>
      </w:r>
      <w:r w:rsidR="00C6056B">
        <w:rPr>
          <w:rFonts w:ascii="Book Antiqua" w:hAnsi="Book Antiqua" w:cs="Arial"/>
          <w:szCs w:val="24"/>
        </w:rPr>
        <w:t>;</w:t>
      </w:r>
      <w:r w:rsidR="00C6056B" w:rsidRPr="00944E42">
        <w:rPr>
          <w:rFonts w:ascii="Book Antiqua" w:hAnsi="Book Antiqua"/>
          <w:vertAlign w:val="superscript"/>
        </w:rPr>
        <w:footnoteReference w:id="33"/>
      </w:r>
      <w:r w:rsidR="00C6056B" w:rsidRPr="00C6056B">
        <w:rPr>
          <w:rFonts w:ascii="Book Antiqua" w:hAnsi="Book Antiqua" w:cs="Arial"/>
          <w:szCs w:val="24"/>
        </w:rPr>
        <w:t xml:space="preserve"> </w:t>
      </w:r>
      <w:r w:rsidR="00C6056B" w:rsidRPr="007B7CF0">
        <w:rPr>
          <w:rFonts w:ascii="Book Antiqua" w:hAnsi="Book Antiqua" w:cs="Arial"/>
          <w:szCs w:val="24"/>
        </w:rPr>
        <w:t>57% were questioned about behaving in a sexually provocative way;</w:t>
      </w:r>
      <w:r w:rsidR="00C6056B" w:rsidRPr="00944E42">
        <w:rPr>
          <w:rFonts w:ascii="Book Antiqua" w:hAnsi="Book Antiqua"/>
          <w:vertAlign w:val="superscript"/>
        </w:rPr>
        <w:footnoteReference w:id="34"/>
      </w:r>
      <w:r w:rsidR="00C6056B" w:rsidRPr="007B7CF0">
        <w:rPr>
          <w:rFonts w:ascii="Book Antiqua" w:hAnsi="Book Antiqua" w:cs="Arial"/>
          <w:szCs w:val="24"/>
        </w:rPr>
        <w:t xml:space="preserve"> 59% were questioned about drinking on the day of the offence</w:t>
      </w:r>
      <w:r w:rsidR="00C6056B">
        <w:rPr>
          <w:rFonts w:ascii="Book Antiqua" w:hAnsi="Book Antiqua" w:cs="Arial"/>
          <w:szCs w:val="24"/>
        </w:rPr>
        <w:t>;</w:t>
      </w:r>
      <w:r w:rsidR="00C6056B" w:rsidRPr="00944E42">
        <w:rPr>
          <w:rFonts w:ascii="Book Antiqua" w:hAnsi="Book Antiqua"/>
          <w:vertAlign w:val="superscript"/>
        </w:rPr>
        <w:footnoteReference w:id="35"/>
      </w:r>
      <w:r w:rsidR="00C6056B" w:rsidRPr="007B7CF0">
        <w:rPr>
          <w:rFonts w:ascii="Book Antiqua" w:hAnsi="Book Antiqua" w:cs="Arial"/>
          <w:szCs w:val="24"/>
        </w:rPr>
        <w:t xml:space="preserve"> </w:t>
      </w:r>
      <w:r w:rsidR="00C6056B">
        <w:rPr>
          <w:rFonts w:ascii="Book Antiqua" w:hAnsi="Book Antiqua" w:cs="Arial"/>
          <w:szCs w:val="24"/>
        </w:rPr>
        <w:t>and</w:t>
      </w:r>
      <w:r w:rsidR="00C6056B" w:rsidRPr="00C6056B">
        <w:rPr>
          <w:rFonts w:ascii="Book Antiqua" w:hAnsi="Book Antiqua" w:cs="Arial"/>
          <w:szCs w:val="24"/>
        </w:rPr>
        <w:t xml:space="preserve"> </w:t>
      </w:r>
      <w:r w:rsidR="001A1BEB">
        <w:rPr>
          <w:rFonts w:ascii="Book Antiqua" w:hAnsi="Book Antiqua" w:cs="Arial"/>
          <w:szCs w:val="24"/>
        </w:rPr>
        <w:t>i</w:t>
      </w:r>
      <w:r w:rsidR="00C6056B" w:rsidRPr="007B7CF0">
        <w:rPr>
          <w:rFonts w:ascii="Book Antiqua" w:hAnsi="Book Antiqua" w:cs="Arial"/>
          <w:szCs w:val="24"/>
        </w:rPr>
        <w:t xml:space="preserve">n 39% of trials, Judges continued to </w:t>
      </w:r>
      <w:r w:rsidR="00C6056B" w:rsidRPr="007B7CF0">
        <w:rPr>
          <w:rFonts w:ascii="Book Antiqua" w:hAnsi="Book Antiqua" w:cs="Arial"/>
          <w:szCs w:val="24"/>
        </w:rPr>
        <w:lastRenderedPageBreak/>
        <w:t>warn juries that the delay in complaint could be used to undermine the credibility of the complainant.</w:t>
      </w:r>
      <w:r w:rsidR="00C6056B" w:rsidRPr="001A1BEB">
        <w:rPr>
          <w:rFonts w:ascii="Book Antiqua" w:hAnsi="Book Antiqua"/>
          <w:vertAlign w:val="superscript"/>
        </w:rPr>
        <w:footnoteReference w:id="36"/>
      </w:r>
    </w:p>
    <w:p w14:paraId="386224DD" w14:textId="5D0DF139" w:rsidR="002E703B" w:rsidRPr="00811A34" w:rsidRDefault="003D64A0" w:rsidP="002E703B">
      <w:pPr>
        <w:pStyle w:val="NumParra"/>
        <w:jc w:val="both"/>
        <w:rPr>
          <w:rFonts w:ascii="Book Antiqua" w:hAnsi="Book Antiqua"/>
          <w:i/>
          <w:iCs/>
          <w:szCs w:val="24"/>
        </w:rPr>
      </w:pPr>
      <w:r w:rsidRPr="007B7CF0">
        <w:rPr>
          <w:rFonts w:ascii="Book Antiqua" w:hAnsi="Book Antiqua" w:cs="Arial"/>
          <w:szCs w:val="24"/>
        </w:rPr>
        <w:t xml:space="preserve">Further reforms </w:t>
      </w:r>
      <w:r w:rsidR="00112C62">
        <w:rPr>
          <w:rFonts w:ascii="Book Antiqua" w:hAnsi="Book Antiqua" w:cs="Arial"/>
          <w:szCs w:val="24"/>
        </w:rPr>
        <w:t>were introduced</w:t>
      </w:r>
      <w:r w:rsidR="006946EE">
        <w:rPr>
          <w:rFonts w:ascii="Book Antiqua" w:hAnsi="Book Antiqua" w:cs="Arial"/>
          <w:szCs w:val="24"/>
        </w:rPr>
        <w:t xml:space="preserve"> in 2007</w:t>
      </w:r>
      <w:r w:rsidR="00112C62">
        <w:rPr>
          <w:rFonts w:ascii="Book Antiqua" w:hAnsi="Book Antiqua" w:cs="Arial"/>
          <w:szCs w:val="24"/>
        </w:rPr>
        <w:t xml:space="preserve"> </w:t>
      </w:r>
      <w:r w:rsidR="002E703B" w:rsidRPr="00811A34">
        <w:rPr>
          <w:rFonts w:ascii="Book Antiqua" w:hAnsi="Book Antiqua"/>
          <w:szCs w:val="24"/>
        </w:rPr>
        <w:t>in response to the Criminal Justice Sexual Offences Taskforce’s Report</w:t>
      </w:r>
      <w:r w:rsidR="002E703B">
        <w:rPr>
          <w:rFonts w:ascii="Book Antiqua" w:hAnsi="Book Antiqua"/>
          <w:szCs w:val="24"/>
        </w:rPr>
        <w:t xml:space="preserve"> on responding to sexual assault</w:t>
      </w:r>
      <w:r w:rsidR="002E703B" w:rsidRPr="00811A34">
        <w:rPr>
          <w:rFonts w:ascii="Book Antiqua" w:hAnsi="Book Antiqua"/>
          <w:i/>
          <w:iCs/>
          <w:szCs w:val="24"/>
        </w:rPr>
        <w:t>.</w:t>
      </w:r>
      <w:r w:rsidR="002E703B" w:rsidRPr="00811A34">
        <w:rPr>
          <w:rStyle w:val="FootnoteReference"/>
          <w:rFonts w:ascii="Book Antiqua" w:hAnsi="Book Antiqua"/>
          <w:i/>
          <w:iCs/>
          <w:szCs w:val="24"/>
        </w:rPr>
        <w:footnoteReference w:id="37"/>
      </w:r>
      <w:r w:rsidR="002E703B" w:rsidRPr="00811A34">
        <w:rPr>
          <w:rFonts w:ascii="Book Antiqua" w:hAnsi="Book Antiqua"/>
          <w:i/>
          <w:iCs/>
          <w:szCs w:val="24"/>
        </w:rPr>
        <w:t xml:space="preserve">  </w:t>
      </w:r>
      <w:r w:rsidR="002E703B" w:rsidRPr="00811A34">
        <w:rPr>
          <w:rFonts w:ascii="Book Antiqua" w:hAnsi="Book Antiqua"/>
          <w:szCs w:val="24"/>
        </w:rPr>
        <w:t>The Taskforce was</w:t>
      </w:r>
      <w:r w:rsidR="002E703B" w:rsidRPr="00811A34">
        <w:rPr>
          <w:rFonts w:ascii="Book Antiqua" w:hAnsi="Book Antiqua"/>
          <w:i/>
          <w:iCs/>
          <w:szCs w:val="24"/>
        </w:rPr>
        <w:t xml:space="preserve"> </w:t>
      </w:r>
      <w:r w:rsidR="002E703B" w:rsidRPr="00811A34">
        <w:rPr>
          <w:rFonts w:ascii="Book Antiqua" w:hAnsi="Book Antiqua"/>
          <w:szCs w:val="24"/>
        </w:rPr>
        <w:t>established to examine why victims of sexual assault were not reporting to police or continuing with the prosecution of charges.</w:t>
      </w:r>
      <w:r w:rsidR="002E703B" w:rsidRPr="00811A34">
        <w:rPr>
          <w:rStyle w:val="FootnoteReference"/>
          <w:rFonts w:ascii="Book Antiqua" w:hAnsi="Book Antiqua" w:cs="Arial"/>
          <w:szCs w:val="24"/>
        </w:rPr>
        <w:footnoteReference w:id="38"/>
      </w:r>
      <w:r w:rsidR="002E703B" w:rsidRPr="00811A34">
        <w:rPr>
          <w:rFonts w:ascii="Book Antiqua" w:hAnsi="Book Antiqua"/>
          <w:i/>
          <w:iCs/>
          <w:szCs w:val="24"/>
        </w:rPr>
        <w:t xml:space="preserve">  </w:t>
      </w:r>
    </w:p>
    <w:p w14:paraId="3265C3C1" w14:textId="4E12B76F" w:rsidR="008B6D93" w:rsidRDefault="00070026" w:rsidP="007B7CF0">
      <w:pPr>
        <w:pStyle w:val="NumParra"/>
        <w:jc w:val="both"/>
        <w:rPr>
          <w:rFonts w:ascii="Book Antiqua" w:hAnsi="Book Antiqua" w:cs="Arial"/>
          <w:szCs w:val="24"/>
        </w:rPr>
      </w:pPr>
      <w:r>
        <w:rPr>
          <w:rFonts w:ascii="Book Antiqua" w:hAnsi="Book Antiqua" w:cs="Arial"/>
          <w:szCs w:val="24"/>
        </w:rPr>
        <w:t>The legislative response, enacted in t</w:t>
      </w:r>
      <w:r w:rsidR="003D64A0" w:rsidRPr="007B7CF0">
        <w:rPr>
          <w:rFonts w:ascii="Book Antiqua" w:hAnsi="Book Antiqua" w:cs="Arial"/>
          <w:szCs w:val="24"/>
        </w:rPr>
        <w:t xml:space="preserve">he </w:t>
      </w:r>
      <w:r w:rsidR="003D64A0" w:rsidRPr="007B7CF0">
        <w:rPr>
          <w:rFonts w:ascii="Book Antiqua" w:hAnsi="Book Antiqua" w:cs="Arial"/>
          <w:i/>
          <w:iCs/>
          <w:szCs w:val="24"/>
        </w:rPr>
        <w:t xml:space="preserve">Crimes Amendment </w:t>
      </w:r>
      <w:r w:rsidR="005C3815" w:rsidRPr="007B7CF0">
        <w:rPr>
          <w:rFonts w:ascii="Book Antiqua" w:hAnsi="Book Antiqua" w:cs="Arial"/>
          <w:i/>
          <w:iCs/>
          <w:szCs w:val="24"/>
        </w:rPr>
        <w:t>(</w:t>
      </w:r>
      <w:r w:rsidR="003D64A0" w:rsidRPr="007B7CF0">
        <w:rPr>
          <w:rFonts w:ascii="Book Antiqua" w:hAnsi="Book Antiqua" w:cs="Arial"/>
          <w:i/>
          <w:iCs/>
          <w:szCs w:val="24"/>
        </w:rPr>
        <w:t>Sexual Assault Offences</w:t>
      </w:r>
      <w:r w:rsidR="005C3815" w:rsidRPr="007B7CF0">
        <w:rPr>
          <w:rFonts w:ascii="Book Antiqua" w:hAnsi="Book Antiqua" w:cs="Arial"/>
          <w:i/>
          <w:iCs/>
          <w:szCs w:val="24"/>
        </w:rPr>
        <w:t>)</w:t>
      </w:r>
      <w:r w:rsidR="003D64A0" w:rsidRPr="007B7CF0">
        <w:rPr>
          <w:rFonts w:ascii="Book Antiqua" w:hAnsi="Book Antiqua" w:cs="Arial"/>
          <w:i/>
          <w:iCs/>
          <w:szCs w:val="24"/>
        </w:rPr>
        <w:t xml:space="preserve"> Act 2007</w:t>
      </w:r>
      <w:r w:rsidR="003D64A0" w:rsidRPr="007B7CF0">
        <w:rPr>
          <w:rFonts w:ascii="Book Antiqua" w:hAnsi="Book Antiqua" w:cs="Arial"/>
          <w:szCs w:val="24"/>
        </w:rPr>
        <w:t xml:space="preserve"> </w:t>
      </w:r>
      <w:r w:rsidR="00013BD8" w:rsidRPr="007B7CF0">
        <w:rPr>
          <w:rFonts w:ascii="Book Antiqua" w:hAnsi="Book Antiqua" w:cs="Arial"/>
          <w:szCs w:val="24"/>
        </w:rPr>
        <w:t>(NSW)</w:t>
      </w:r>
      <w:r>
        <w:rPr>
          <w:rFonts w:ascii="Book Antiqua" w:hAnsi="Book Antiqua" w:cs="Arial"/>
          <w:szCs w:val="24"/>
        </w:rPr>
        <w:t>,</w:t>
      </w:r>
      <w:r w:rsidR="007121C3">
        <w:rPr>
          <w:rFonts w:ascii="Book Antiqua" w:hAnsi="Book Antiqua" w:cs="Arial"/>
          <w:szCs w:val="24"/>
        </w:rPr>
        <w:t xml:space="preserve"> </w:t>
      </w:r>
      <w:r w:rsidR="003D64A0" w:rsidRPr="007B7CF0">
        <w:rPr>
          <w:rFonts w:ascii="Book Antiqua" w:hAnsi="Book Antiqua" w:cs="Arial"/>
          <w:szCs w:val="24"/>
        </w:rPr>
        <w:t xml:space="preserve">sought to address </w:t>
      </w:r>
      <w:r w:rsidR="00227D01" w:rsidRPr="007B7CF0">
        <w:rPr>
          <w:rFonts w:ascii="Book Antiqua" w:hAnsi="Book Antiqua" w:cs="Arial"/>
          <w:szCs w:val="24"/>
        </w:rPr>
        <w:t xml:space="preserve">changing </w:t>
      </w:r>
      <w:r w:rsidR="003D64A0" w:rsidRPr="007B7CF0">
        <w:rPr>
          <w:rFonts w:ascii="Book Antiqua" w:hAnsi="Book Antiqua" w:cs="Arial"/>
          <w:szCs w:val="24"/>
        </w:rPr>
        <w:t xml:space="preserve">community attitudes </w:t>
      </w:r>
      <w:r w:rsidR="0092159A">
        <w:rPr>
          <w:rFonts w:ascii="Book Antiqua" w:hAnsi="Book Antiqua" w:cs="Arial"/>
          <w:szCs w:val="24"/>
        </w:rPr>
        <w:t>by introducing</w:t>
      </w:r>
      <w:r w:rsidR="006403EF">
        <w:rPr>
          <w:rFonts w:ascii="Book Antiqua" w:hAnsi="Book Antiqua" w:cs="Arial"/>
          <w:szCs w:val="24"/>
        </w:rPr>
        <w:t xml:space="preserve"> </w:t>
      </w:r>
      <w:r w:rsidR="003D64A0" w:rsidRPr="007B7CF0">
        <w:rPr>
          <w:rFonts w:ascii="Book Antiqua" w:hAnsi="Book Antiqua" w:cs="Arial"/>
          <w:szCs w:val="24"/>
        </w:rPr>
        <w:t>a definition of consent to mean</w:t>
      </w:r>
      <w:r w:rsidR="005A5535">
        <w:rPr>
          <w:rFonts w:ascii="Book Antiqua" w:hAnsi="Book Antiqua" w:cs="Arial"/>
          <w:szCs w:val="24"/>
        </w:rPr>
        <w:t>:</w:t>
      </w:r>
      <w:r w:rsidR="00AF629B" w:rsidRPr="007B7CF0">
        <w:rPr>
          <w:rFonts w:ascii="Book Antiqua" w:hAnsi="Book Antiqua" w:cs="Arial"/>
          <w:szCs w:val="24"/>
        </w:rPr>
        <w:t xml:space="preserve"> ‘</w:t>
      </w:r>
      <w:r w:rsidR="003D64A0" w:rsidRPr="007B7CF0">
        <w:rPr>
          <w:rFonts w:ascii="Book Antiqua" w:hAnsi="Book Antiqua" w:cs="Arial"/>
          <w:szCs w:val="24"/>
        </w:rPr>
        <w:t>if a person freely and voluntarily agrees to the sexual intercourse</w:t>
      </w:r>
      <w:r w:rsidR="00511C35" w:rsidRPr="007B7CF0">
        <w:rPr>
          <w:rFonts w:ascii="Book Antiqua" w:hAnsi="Book Antiqua" w:cs="Arial"/>
          <w:szCs w:val="24"/>
        </w:rPr>
        <w:t>’</w:t>
      </w:r>
      <w:r w:rsidR="003D64A0" w:rsidRPr="007B7CF0">
        <w:rPr>
          <w:rFonts w:ascii="Book Antiqua" w:hAnsi="Book Antiqua" w:cs="Arial"/>
          <w:szCs w:val="24"/>
        </w:rPr>
        <w:t>.</w:t>
      </w:r>
      <w:r w:rsidR="003D64A0" w:rsidRPr="007B7CF0">
        <w:rPr>
          <w:rStyle w:val="FootnoteReference"/>
          <w:rFonts w:ascii="Book Antiqua" w:hAnsi="Book Antiqua" w:cs="Arial"/>
          <w:szCs w:val="24"/>
        </w:rPr>
        <w:footnoteReference w:id="39"/>
      </w:r>
      <w:r w:rsidR="003D64A0" w:rsidRPr="007B7CF0">
        <w:rPr>
          <w:rFonts w:ascii="Book Antiqua" w:hAnsi="Book Antiqua" w:cs="Arial"/>
          <w:szCs w:val="24"/>
        </w:rPr>
        <w:t xml:space="preserve"> </w:t>
      </w:r>
      <w:r w:rsidR="005A3571">
        <w:rPr>
          <w:rFonts w:ascii="Book Antiqua" w:hAnsi="Book Antiqua" w:cs="Arial"/>
          <w:szCs w:val="24"/>
        </w:rPr>
        <w:t xml:space="preserve"> </w:t>
      </w:r>
      <w:r w:rsidR="003D64A0" w:rsidRPr="007B7CF0">
        <w:rPr>
          <w:rFonts w:ascii="Book Antiqua" w:hAnsi="Book Antiqua" w:cs="Arial"/>
          <w:szCs w:val="24"/>
        </w:rPr>
        <w:t>An expanded list of circumstances</w:t>
      </w:r>
      <w:r w:rsidR="005A3571">
        <w:rPr>
          <w:rFonts w:ascii="Book Antiqua" w:hAnsi="Book Antiqua" w:cs="Arial"/>
          <w:szCs w:val="24"/>
        </w:rPr>
        <w:t xml:space="preserve"> </w:t>
      </w:r>
      <w:r w:rsidR="003D64A0" w:rsidRPr="007B7CF0">
        <w:rPr>
          <w:rFonts w:ascii="Book Antiqua" w:hAnsi="Book Antiqua" w:cs="Arial"/>
          <w:szCs w:val="24"/>
        </w:rPr>
        <w:t>which automatically negate consent</w:t>
      </w:r>
      <w:r w:rsidR="005A3571">
        <w:rPr>
          <w:rFonts w:ascii="Book Antiqua" w:hAnsi="Book Antiqua" w:cs="Arial"/>
          <w:szCs w:val="24"/>
        </w:rPr>
        <w:t xml:space="preserve"> </w:t>
      </w:r>
      <w:r w:rsidR="003D64A0" w:rsidRPr="007B7CF0">
        <w:rPr>
          <w:rFonts w:ascii="Book Antiqua" w:hAnsi="Book Antiqua" w:cs="Arial"/>
          <w:szCs w:val="24"/>
        </w:rPr>
        <w:t>includ</w:t>
      </w:r>
      <w:r w:rsidR="00E54CFB" w:rsidRPr="007B7CF0">
        <w:rPr>
          <w:rFonts w:ascii="Book Antiqua" w:hAnsi="Book Antiqua" w:cs="Arial"/>
          <w:szCs w:val="24"/>
        </w:rPr>
        <w:t>e</w:t>
      </w:r>
      <w:r w:rsidR="00892B1F">
        <w:rPr>
          <w:rFonts w:ascii="Book Antiqua" w:hAnsi="Book Antiqua" w:cs="Arial"/>
          <w:szCs w:val="24"/>
        </w:rPr>
        <w:t>d</w:t>
      </w:r>
      <w:r w:rsidR="00D44E17">
        <w:rPr>
          <w:rFonts w:ascii="Book Antiqua" w:hAnsi="Book Antiqua" w:cs="Arial"/>
          <w:szCs w:val="24"/>
        </w:rPr>
        <w:t>:</w:t>
      </w:r>
      <w:r w:rsidR="001E64B1" w:rsidRPr="007B7CF0">
        <w:rPr>
          <w:rFonts w:ascii="Book Antiqua" w:hAnsi="Book Antiqua" w:cs="Arial"/>
          <w:szCs w:val="24"/>
        </w:rPr>
        <w:t xml:space="preserve"> </w:t>
      </w:r>
      <w:r w:rsidR="003D64A0" w:rsidRPr="007B7CF0">
        <w:rPr>
          <w:rFonts w:ascii="Book Antiqua" w:hAnsi="Book Antiqua" w:cs="Arial"/>
          <w:szCs w:val="24"/>
        </w:rPr>
        <w:t>if a person does not have the capacity to consent</w:t>
      </w:r>
      <w:r w:rsidR="00D44E17">
        <w:rPr>
          <w:rFonts w:ascii="Book Antiqua" w:hAnsi="Book Antiqua" w:cs="Arial"/>
          <w:szCs w:val="24"/>
        </w:rPr>
        <w:t xml:space="preserve"> or</w:t>
      </w:r>
      <w:r w:rsidR="00161E75">
        <w:rPr>
          <w:rFonts w:ascii="Book Antiqua" w:hAnsi="Book Antiqua" w:cs="Arial"/>
          <w:szCs w:val="24"/>
        </w:rPr>
        <w:t xml:space="preserve"> </w:t>
      </w:r>
      <w:r w:rsidR="003D64A0" w:rsidRPr="007B7CF0">
        <w:rPr>
          <w:rFonts w:ascii="Book Antiqua" w:hAnsi="Book Antiqua" w:cs="Arial"/>
          <w:szCs w:val="24"/>
        </w:rPr>
        <w:t>if the person is unconscious</w:t>
      </w:r>
      <w:r w:rsidR="00C42A9E">
        <w:rPr>
          <w:rFonts w:ascii="Book Antiqua" w:hAnsi="Book Antiqua" w:cs="Arial"/>
          <w:szCs w:val="24"/>
        </w:rPr>
        <w:t>,</w:t>
      </w:r>
      <w:r w:rsidR="003D64A0" w:rsidRPr="007B7CF0">
        <w:rPr>
          <w:rFonts w:ascii="Book Antiqua" w:hAnsi="Book Antiqua" w:cs="Arial"/>
          <w:szCs w:val="24"/>
        </w:rPr>
        <w:t xml:space="preserve"> forcefully detained or threatened with force or terror.</w:t>
      </w:r>
      <w:r w:rsidR="003D64A0" w:rsidRPr="007B7CF0">
        <w:rPr>
          <w:rStyle w:val="FootnoteReference"/>
          <w:rFonts w:ascii="Book Antiqua" w:hAnsi="Book Antiqua" w:cs="Arial"/>
          <w:szCs w:val="24"/>
        </w:rPr>
        <w:footnoteReference w:id="40"/>
      </w:r>
    </w:p>
    <w:p w14:paraId="195B33EB" w14:textId="20A74400" w:rsidR="008F4799" w:rsidRPr="00724B94" w:rsidRDefault="008B6D93" w:rsidP="007B7CF0">
      <w:pPr>
        <w:pStyle w:val="NumParra"/>
        <w:jc w:val="both"/>
        <w:rPr>
          <w:rFonts w:ascii="Book Antiqua" w:hAnsi="Book Antiqua" w:cs="Arial"/>
          <w:szCs w:val="24"/>
        </w:rPr>
      </w:pPr>
      <w:r>
        <w:rPr>
          <w:rFonts w:ascii="Book Antiqua" w:hAnsi="Book Antiqua"/>
          <w:szCs w:val="24"/>
        </w:rPr>
        <w:t>In his Second Reading Speech introducing th</w:t>
      </w:r>
      <w:r w:rsidR="006E1344">
        <w:rPr>
          <w:rFonts w:ascii="Book Antiqua" w:hAnsi="Book Antiqua"/>
          <w:szCs w:val="24"/>
        </w:rPr>
        <w:t>is</w:t>
      </w:r>
      <w:r>
        <w:rPr>
          <w:rFonts w:ascii="Book Antiqua" w:hAnsi="Book Antiqua"/>
          <w:szCs w:val="24"/>
        </w:rPr>
        <w:t xml:space="preserve"> legislation to Parliament, then-Attorney</w:t>
      </w:r>
      <w:r w:rsidR="00584318">
        <w:rPr>
          <w:rFonts w:ascii="Book Antiqua" w:hAnsi="Book Antiqua"/>
          <w:szCs w:val="24"/>
        </w:rPr>
        <w:t xml:space="preserve"> </w:t>
      </w:r>
      <w:r>
        <w:rPr>
          <w:rFonts w:ascii="Book Antiqua" w:hAnsi="Book Antiqua"/>
          <w:szCs w:val="24"/>
        </w:rPr>
        <w:t>General</w:t>
      </w:r>
      <w:r w:rsidR="0092159A">
        <w:rPr>
          <w:rFonts w:ascii="Book Antiqua" w:hAnsi="Book Antiqua"/>
          <w:szCs w:val="24"/>
        </w:rPr>
        <w:t>,</w:t>
      </w:r>
      <w:r>
        <w:rPr>
          <w:rFonts w:ascii="Book Antiqua" w:hAnsi="Book Antiqua"/>
          <w:szCs w:val="24"/>
        </w:rPr>
        <w:t xml:space="preserve"> t</w:t>
      </w:r>
      <w:r w:rsidRPr="007B7CF0">
        <w:rPr>
          <w:rFonts w:ascii="Book Antiqua" w:hAnsi="Book Antiqua"/>
          <w:szCs w:val="24"/>
        </w:rPr>
        <w:t xml:space="preserve">he Honourable John </w:t>
      </w:r>
      <w:proofErr w:type="spellStart"/>
      <w:r w:rsidRPr="007B7CF0">
        <w:rPr>
          <w:rFonts w:ascii="Book Antiqua" w:hAnsi="Book Antiqua"/>
          <w:szCs w:val="24"/>
        </w:rPr>
        <w:t>Hatzistergos</w:t>
      </w:r>
      <w:proofErr w:type="spellEnd"/>
      <w:r w:rsidR="0092159A">
        <w:rPr>
          <w:rFonts w:ascii="Book Antiqua" w:hAnsi="Book Antiqua"/>
          <w:szCs w:val="24"/>
        </w:rPr>
        <w:t>,</w:t>
      </w:r>
      <w:r>
        <w:rPr>
          <w:rFonts w:ascii="Book Antiqua" w:hAnsi="Book Antiqua"/>
          <w:szCs w:val="24"/>
        </w:rPr>
        <w:t xml:space="preserve"> </w:t>
      </w:r>
      <w:r w:rsidRPr="007B7CF0">
        <w:rPr>
          <w:rFonts w:ascii="Book Antiqua" w:hAnsi="Book Antiqua"/>
          <w:szCs w:val="24"/>
        </w:rPr>
        <w:t>stated that the reforms were to address the need to ‘[bring] about a cultural shift in the way sexual offences are investigated and prosecuted, and the attitudes of key participants within the criminal justice system’</w:t>
      </w:r>
      <w:r w:rsidRPr="007B7CF0">
        <w:rPr>
          <w:rFonts w:ascii="Book Antiqua" w:hAnsi="Book Antiqua"/>
          <w:i/>
          <w:iCs/>
          <w:szCs w:val="24"/>
        </w:rPr>
        <w:t>.</w:t>
      </w:r>
      <w:r w:rsidRPr="007B7CF0">
        <w:rPr>
          <w:rStyle w:val="FootnoteReference"/>
          <w:rFonts w:ascii="Book Antiqua" w:hAnsi="Book Antiqua" w:cs="Arial"/>
          <w:szCs w:val="24"/>
        </w:rPr>
        <w:footnoteReference w:id="41"/>
      </w:r>
      <w:r w:rsidRPr="007B7CF0">
        <w:rPr>
          <w:rFonts w:ascii="Book Antiqua" w:hAnsi="Book Antiqua"/>
          <w:szCs w:val="24"/>
        </w:rPr>
        <w:t xml:space="preserve">  The Attorney</w:t>
      </w:r>
      <w:r w:rsidR="00584318">
        <w:rPr>
          <w:rFonts w:ascii="Book Antiqua" w:hAnsi="Book Antiqua"/>
          <w:szCs w:val="24"/>
        </w:rPr>
        <w:t xml:space="preserve"> </w:t>
      </w:r>
      <w:r w:rsidRPr="007B7CF0">
        <w:rPr>
          <w:rFonts w:ascii="Book Antiqua" w:hAnsi="Book Antiqua"/>
          <w:szCs w:val="24"/>
        </w:rPr>
        <w:t xml:space="preserve">General </w:t>
      </w:r>
      <w:r>
        <w:rPr>
          <w:rFonts w:ascii="Book Antiqua" w:hAnsi="Book Antiqua"/>
          <w:szCs w:val="24"/>
        </w:rPr>
        <w:t>continued</w:t>
      </w:r>
      <w:r w:rsidR="006E1344">
        <w:rPr>
          <w:rFonts w:ascii="Book Antiqua" w:hAnsi="Book Antiqua"/>
          <w:szCs w:val="24"/>
        </w:rPr>
        <w:t xml:space="preserve">: </w:t>
      </w:r>
      <w:r w:rsidRPr="007B7CF0">
        <w:rPr>
          <w:rFonts w:ascii="Book Antiqua" w:hAnsi="Book Antiqua"/>
          <w:szCs w:val="24"/>
        </w:rPr>
        <w:t xml:space="preserve">‘some members of the community still hold the view that women often say </w:t>
      </w:r>
      <w:r>
        <w:rPr>
          <w:rFonts w:ascii="Book Antiqua" w:hAnsi="Book Antiqua"/>
          <w:szCs w:val="24"/>
        </w:rPr>
        <w:t>“</w:t>
      </w:r>
      <w:r w:rsidRPr="007B7CF0">
        <w:rPr>
          <w:rFonts w:ascii="Book Antiqua" w:hAnsi="Book Antiqua"/>
          <w:szCs w:val="24"/>
        </w:rPr>
        <w:t>no</w:t>
      </w:r>
      <w:r>
        <w:rPr>
          <w:rFonts w:ascii="Book Antiqua" w:hAnsi="Book Antiqua"/>
          <w:szCs w:val="24"/>
        </w:rPr>
        <w:t>”</w:t>
      </w:r>
      <w:r w:rsidRPr="007B7CF0">
        <w:rPr>
          <w:rFonts w:ascii="Book Antiqua" w:hAnsi="Book Antiqua"/>
          <w:szCs w:val="24"/>
        </w:rPr>
        <w:t xml:space="preserve"> when they mean </w:t>
      </w:r>
      <w:r>
        <w:rPr>
          <w:rFonts w:ascii="Book Antiqua" w:hAnsi="Book Antiqua"/>
          <w:szCs w:val="24"/>
        </w:rPr>
        <w:t>“</w:t>
      </w:r>
      <w:r w:rsidRPr="007B7CF0">
        <w:rPr>
          <w:rFonts w:ascii="Book Antiqua" w:hAnsi="Book Antiqua"/>
          <w:szCs w:val="24"/>
        </w:rPr>
        <w:t>yes</w:t>
      </w:r>
      <w:r>
        <w:rPr>
          <w:rFonts w:ascii="Book Antiqua" w:hAnsi="Book Antiqua"/>
          <w:szCs w:val="24"/>
        </w:rPr>
        <w:t>”</w:t>
      </w:r>
      <w:r w:rsidRPr="007B7CF0">
        <w:rPr>
          <w:rFonts w:ascii="Book Antiqua" w:hAnsi="Book Antiqua"/>
          <w:szCs w:val="24"/>
        </w:rPr>
        <w:t xml:space="preserve">, that women who are raped often ask for it, and that rape often results from men not being able to control their need for sex, </w:t>
      </w:r>
      <w:r w:rsidRPr="00724B94">
        <w:rPr>
          <w:rFonts w:ascii="Book Antiqua" w:hAnsi="Book Antiqua"/>
          <w:szCs w:val="24"/>
        </w:rPr>
        <w:t>[therefore removing] responsibility for rape’.</w:t>
      </w:r>
      <w:r w:rsidRPr="00724B94">
        <w:rPr>
          <w:rStyle w:val="FootnoteReference"/>
          <w:rFonts w:ascii="Book Antiqua" w:hAnsi="Book Antiqua" w:cs="Arial"/>
          <w:szCs w:val="24"/>
        </w:rPr>
        <w:footnoteReference w:id="42"/>
      </w:r>
      <w:r w:rsidRPr="00724B94">
        <w:rPr>
          <w:rFonts w:ascii="Book Antiqua" w:hAnsi="Book Antiqua"/>
          <w:szCs w:val="24"/>
        </w:rPr>
        <w:t xml:space="preserve">    </w:t>
      </w:r>
      <w:r w:rsidR="003D64A0" w:rsidRPr="00724B94">
        <w:rPr>
          <w:rFonts w:ascii="Book Antiqua" w:hAnsi="Book Antiqua" w:cs="Arial"/>
          <w:szCs w:val="24"/>
        </w:rPr>
        <w:t xml:space="preserve">  </w:t>
      </w:r>
      <w:r w:rsidR="00143478" w:rsidRPr="00724B94">
        <w:rPr>
          <w:rFonts w:ascii="Book Antiqua" w:hAnsi="Book Antiqua" w:cs="Arial"/>
          <w:szCs w:val="24"/>
        </w:rPr>
        <w:t xml:space="preserve">  </w:t>
      </w:r>
    </w:p>
    <w:p w14:paraId="69CE841E" w14:textId="0BFB5E79" w:rsidR="00E33DE3" w:rsidRPr="00D47EEA" w:rsidRDefault="008D6DDB">
      <w:pPr>
        <w:pStyle w:val="NumParra"/>
        <w:jc w:val="both"/>
        <w:rPr>
          <w:rFonts w:ascii="Book Antiqua" w:hAnsi="Book Antiqua"/>
          <w:i/>
          <w:iCs/>
          <w:szCs w:val="24"/>
        </w:rPr>
      </w:pPr>
      <w:r>
        <w:rPr>
          <w:rFonts w:ascii="Book Antiqua" w:hAnsi="Book Antiqua" w:cs="Arial"/>
          <w:szCs w:val="24"/>
        </w:rPr>
        <w:lastRenderedPageBreak/>
        <w:t xml:space="preserve">Circumstances such as </w:t>
      </w:r>
      <w:r w:rsidR="00070026">
        <w:rPr>
          <w:rFonts w:ascii="Book Antiqua" w:hAnsi="Book Antiqua" w:cs="Arial"/>
          <w:szCs w:val="24"/>
        </w:rPr>
        <w:t>those</w:t>
      </w:r>
      <w:r w:rsidR="001B6E49">
        <w:rPr>
          <w:rFonts w:ascii="Book Antiqua" w:hAnsi="Book Antiqua" w:cs="Arial"/>
          <w:szCs w:val="24"/>
        </w:rPr>
        <w:t xml:space="preserve"> outlined by the Attorney-General </w:t>
      </w:r>
      <w:r w:rsidR="00F674F6">
        <w:rPr>
          <w:rFonts w:ascii="Book Antiqua" w:hAnsi="Book Antiqua" w:cs="Arial"/>
          <w:szCs w:val="24"/>
        </w:rPr>
        <w:t>can be found in the case law.</w:t>
      </w:r>
      <w:r w:rsidR="00143478" w:rsidRPr="00170B90">
        <w:rPr>
          <w:rFonts w:ascii="Book Antiqua" w:hAnsi="Book Antiqua" w:cs="Arial"/>
          <w:szCs w:val="24"/>
        </w:rPr>
        <w:t xml:space="preserve"> </w:t>
      </w:r>
      <w:r w:rsidR="00012AF4" w:rsidRPr="00170B90">
        <w:rPr>
          <w:rFonts w:ascii="Book Antiqua" w:hAnsi="Book Antiqua" w:cs="Arial"/>
          <w:i/>
          <w:iCs/>
          <w:szCs w:val="24"/>
        </w:rPr>
        <w:t>Paul Upton v R</w:t>
      </w:r>
      <w:r w:rsidR="00151816" w:rsidRPr="00D47EEA">
        <w:rPr>
          <w:rStyle w:val="FootnoteReference"/>
          <w:rFonts w:ascii="Book Antiqua" w:hAnsi="Book Antiqua" w:cs="Arial"/>
          <w:szCs w:val="24"/>
        </w:rPr>
        <w:footnoteReference w:id="43"/>
      </w:r>
      <w:r w:rsidR="002220B5">
        <w:rPr>
          <w:rFonts w:ascii="Book Antiqua" w:hAnsi="Book Antiqua" w:cs="Arial"/>
          <w:szCs w:val="24"/>
        </w:rPr>
        <w:t>was an extreme example</w:t>
      </w:r>
      <w:r w:rsidR="0073669A">
        <w:rPr>
          <w:rFonts w:ascii="Book Antiqua" w:hAnsi="Book Antiqua" w:cs="Arial"/>
          <w:szCs w:val="24"/>
        </w:rPr>
        <w:t>.</w:t>
      </w:r>
      <w:r w:rsidR="00F82F92" w:rsidRPr="00170B90">
        <w:rPr>
          <w:rFonts w:ascii="Book Antiqua" w:hAnsi="Book Antiqua" w:cs="Arial"/>
          <w:i/>
          <w:iCs/>
          <w:szCs w:val="24"/>
        </w:rPr>
        <w:t xml:space="preserve"> </w:t>
      </w:r>
      <w:r w:rsidR="00F82F92" w:rsidRPr="00170B90">
        <w:rPr>
          <w:rFonts w:ascii="Book Antiqua" w:hAnsi="Book Antiqua"/>
          <w:szCs w:val="24"/>
        </w:rPr>
        <w:t xml:space="preserve"> T</w:t>
      </w:r>
      <w:r w:rsidR="00155B12" w:rsidRPr="00170B90">
        <w:rPr>
          <w:rFonts w:ascii="Book Antiqua" w:hAnsi="Book Antiqua" w:cs="Arial"/>
          <w:szCs w:val="24"/>
        </w:rPr>
        <w:t xml:space="preserve">he evidence of the </w:t>
      </w:r>
      <w:r w:rsidR="00012AF4" w:rsidRPr="00170B90">
        <w:rPr>
          <w:rFonts w:ascii="Book Antiqua" w:hAnsi="Book Antiqua" w:cs="Arial"/>
          <w:szCs w:val="24"/>
        </w:rPr>
        <w:t>complainant</w:t>
      </w:r>
      <w:r w:rsidR="00155B12" w:rsidRPr="00170B90">
        <w:rPr>
          <w:rFonts w:ascii="Book Antiqua" w:hAnsi="Book Antiqua" w:cs="Arial"/>
          <w:szCs w:val="24"/>
        </w:rPr>
        <w:t>,</w:t>
      </w:r>
      <w:r w:rsidR="003801E4" w:rsidRPr="00170B90">
        <w:rPr>
          <w:rFonts w:ascii="Book Antiqua" w:hAnsi="Book Antiqua" w:cs="Arial"/>
          <w:szCs w:val="24"/>
        </w:rPr>
        <w:t xml:space="preserve"> a sex worker, </w:t>
      </w:r>
      <w:r w:rsidR="0073669A">
        <w:rPr>
          <w:rFonts w:ascii="Book Antiqua" w:hAnsi="Book Antiqua" w:cs="Arial"/>
          <w:szCs w:val="24"/>
        </w:rPr>
        <w:t xml:space="preserve">was that </w:t>
      </w:r>
      <w:r w:rsidR="009F1FC2">
        <w:rPr>
          <w:rFonts w:ascii="Book Antiqua" w:hAnsi="Book Antiqua" w:cs="Arial"/>
          <w:szCs w:val="24"/>
        </w:rPr>
        <w:t>when she accepted a lift from the appellant</w:t>
      </w:r>
      <w:r w:rsidR="00C40F79">
        <w:rPr>
          <w:rFonts w:ascii="Book Antiqua" w:hAnsi="Book Antiqua" w:cs="Arial"/>
          <w:szCs w:val="24"/>
        </w:rPr>
        <w:t>,</w:t>
      </w:r>
      <w:r w:rsidR="009F1FC2">
        <w:rPr>
          <w:rFonts w:ascii="Book Antiqua" w:hAnsi="Book Antiqua" w:cs="Arial"/>
          <w:szCs w:val="24"/>
        </w:rPr>
        <w:t xml:space="preserve"> she informed him and the co-accused that she only worked from home.  This was ignored </w:t>
      </w:r>
      <w:r w:rsidR="00C40F79">
        <w:rPr>
          <w:rFonts w:ascii="Book Antiqua" w:hAnsi="Book Antiqua" w:cs="Arial"/>
          <w:szCs w:val="24"/>
        </w:rPr>
        <w:t xml:space="preserve">and she was </w:t>
      </w:r>
      <w:r w:rsidR="003801E4" w:rsidRPr="00170B90">
        <w:rPr>
          <w:rFonts w:ascii="Book Antiqua" w:hAnsi="Book Antiqua" w:cs="Arial"/>
          <w:szCs w:val="24"/>
        </w:rPr>
        <w:t xml:space="preserve">detained in an industrial warehouse over </w:t>
      </w:r>
      <w:r w:rsidR="00EE14E2" w:rsidRPr="00170B90">
        <w:rPr>
          <w:rFonts w:ascii="Book Antiqua" w:hAnsi="Book Antiqua" w:cs="Arial"/>
          <w:szCs w:val="24"/>
        </w:rPr>
        <w:t>three</w:t>
      </w:r>
      <w:r w:rsidR="003801E4" w:rsidRPr="00170B90">
        <w:rPr>
          <w:rFonts w:ascii="Book Antiqua" w:hAnsi="Book Antiqua" w:cs="Arial"/>
          <w:szCs w:val="24"/>
        </w:rPr>
        <w:t xml:space="preserve"> days,</w:t>
      </w:r>
      <w:r w:rsidR="00C40F79">
        <w:rPr>
          <w:rFonts w:ascii="Book Antiqua" w:hAnsi="Book Antiqua" w:cs="Arial"/>
          <w:szCs w:val="24"/>
        </w:rPr>
        <w:t xml:space="preserve"> </w:t>
      </w:r>
      <w:r w:rsidR="00012AF4" w:rsidRPr="00170B90">
        <w:rPr>
          <w:rFonts w:ascii="Book Antiqua" w:hAnsi="Book Antiqua" w:cs="Arial"/>
          <w:szCs w:val="24"/>
        </w:rPr>
        <w:t xml:space="preserve">had a drill held to her temple, her jacket cut up with a 300mm long knife, a noose hung around her neck and </w:t>
      </w:r>
      <w:r w:rsidR="00C40F79">
        <w:rPr>
          <w:rFonts w:ascii="Book Antiqua" w:hAnsi="Book Antiqua" w:cs="Arial"/>
          <w:szCs w:val="24"/>
        </w:rPr>
        <w:t xml:space="preserve">she was </w:t>
      </w:r>
      <w:r w:rsidR="00012AF4" w:rsidRPr="00170B90">
        <w:rPr>
          <w:rFonts w:ascii="Book Antiqua" w:hAnsi="Book Antiqua" w:cs="Arial"/>
          <w:szCs w:val="24"/>
        </w:rPr>
        <w:t>threatened to be ‘chop[ped] up’.</w:t>
      </w:r>
      <w:r w:rsidR="00012AF4" w:rsidRPr="00170B90">
        <w:rPr>
          <w:rStyle w:val="FootnoteReference"/>
          <w:rFonts w:ascii="Book Antiqua" w:hAnsi="Book Antiqua" w:cs="Arial"/>
          <w:szCs w:val="24"/>
        </w:rPr>
        <w:footnoteReference w:id="44"/>
      </w:r>
      <w:r w:rsidR="00012AF4" w:rsidRPr="00170B90">
        <w:rPr>
          <w:rFonts w:ascii="Book Antiqua" w:hAnsi="Book Antiqua" w:cs="Arial"/>
          <w:szCs w:val="24"/>
        </w:rPr>
        <w:t xml:space="preserve">  </w:t>
      </w:r>
      <w:r w:rsidR="009F1FC2">
        <w:rPr>
          <w:rFonts w:ascii="Book Antiqua" w:hAnsi="Book Antiqua" w:cs="Arial"/>
          <w:szCs w:val="24"/>
        </w:rPr>
        <w:t>This case</w:t>
      </w:r>
      <w:r w:rsidR="00D40BB6">
        <w:rPr>
          <w:rFonts w:ascii="Book Antiqua" w:hAnsi="Book Antiqua" w:cs="Arial"/>
          <w:szCs w:val="24"/>
        </w:rPr>
        <w:t xml:space="preserve"> was before the 2007 reforms.</w:t>
      </w:r>
      <w:r w:rsidR="00C40F79">
        <w:rPr>
          <w:rFonts w:ascii="Book Antiqua" w:hAnsi="Book Antiqua" w:cs="Arial"/>
          <w:szCs w:val="24"/>
        </w:rPr>
        <w:t xml:space="preserve"> </w:t>
      </w:r>
      <w:r w:rsidR="00D40BB6">
        <w:rPr>
          <w:rFonts w:ascii="Book Antiqua" w:hAnsi="Book Antiqua" w:cs="Arial"/>
          <w:szCs w:val="24"/>
        </w:rPr>
        <w:t>Nonetheless</w:t>
      </w:r>
      <w:r w:rsidR="00D91075" w:rsidRPr="00170B90">
        <w:rPr>
          <w:rFonts w:ascii="Book Antiqua" w:hAnsi="Book Antiqua"/>
          <w:szCs w:val="24"/>
        </w:rPr>
        <w:t xml:space="preserve"> </w:t>
      </w:r>
      <w:r w:rsidR="00F71CF5">
        <w:rPr>
          <w:rFonts w:ascii="Book Antiqua" w:hAnsi="Book Antiqua"/>
          <w:szCs w:val="24"/>
        </w:rPr>
        <w:t>it does indicate that</w:t>
      </w:r>
      <w:r w:rsidR="002E5878">
        <w:rPr>
          <w:rFonts w:ascii="Book Antiqua" w:hAnsi="Book Antiqua"/>
          <w:szCs w:val="24"/>
        </w:rPr>
        <w:t xml:space="preserve"> </w:t>
      </w:r>
      <w:r w:rsidR="00D91075" w:rsidRPr="00170B90">
        <w:rPr>
          <w:rFonts w:ascii="Book Antiqua" w:hAnsi="Book Antiqua"/>
          <w:szCs w:val="24"/>
        </w:rPr>
        <w:t>the statutory negation of consent would not necessarily achieve the objects of the reforms.</w:t>
      </w:r>
      <w:r w:rsidR="00D91075" w:rsidRPr="00170B90" w:rsidDel="00D91075">
        <w:rPr>
          <w:rFonts w:ascii="Book Antiqua" w:hAnsi="Book Antiqua"/>
          <w:i/>
          <w:iCs/>
          <w:szCs w:val="24"/>
        </w:rPr>
        <w:t xml:space="preserve"> </w:t>
      </w:r>
      <w:r w:rsidR="00D1624F" w:rsidRPr="00724B94">
        <w:rPr>
          <w:rFonts w:ascii="Book Antiqua" w:hAnsi="Book Antiqua"/>
          <w:szCs w:val="24"/>
        </w:rPr>
        <w:t xml:space="preserve"> </w:t>
      </w:r>
    </w:p>
    <w:p w14:paraId="046662D8" w14:textId="59B819F9" w:rsidR="00575B55" w:rsidRPr="007B7CF0" w:rsidRDefault="009B10B2" w:rsidP="007B7CF0">
      <w:pPr>
        <w:pStyle w:val="NumParra"/>
        <w:jc w:val="both"/>
        <w:rPr>
          <w:rFonts w:ascii="Book Antiqua" w:hAnsi="Book Antiqua"/>
          <w:szCs w:val="24"/>
        </w:rPr>
      </w:pPr>
      <w:r w:rsidRPr="00724B94">
        <w:rPr>
          <w:rFonts w:ascii="Book Antiqua" w:hAnsi="Book Antiqua"/>
          <w:szCs w:val="24"/>
        </w:rPr>
        <w:t>More than 13 years later</w:t>
      </w:r>
      <w:r w:rsidR="006F3CCD" w:rsidRPr="00724B94">
        <w:rPr>
          <w:rFonts w:ascii="Book Antiqua" w:hAnsi="Book Antiqua"/>
          <w:szCs w:val="24"/>
        </w:rPr>
        <w:t xml:space="preserve">, debate around the meaning of consent remains.  </w:t>
      </w:r>
      <w:r w:rsidR="00D575A1" w:rsidRPr="00724B94">
        <w:rPr>
          <w:rFonts w:ascii="Book Antiqua" w:hAnsi="Book Antiqua"/>
          <w:szCs w:val="24"/>
        </w:rPr>
        <w:t xml:space="preserve">Chanel </w:t>
      </w:r>
      <w:proofErr w:type="spellStart"/>
      <w:r w:rsidR="003D64A0" w:rsidRPr="00724B94">
        <w:rPr>
          <w:rFonts w:ascii="Book Antiqua" w:hAnsi="Book Antiqua"/>
          <w:szCs w:val="24"/>
        </w:rPr>
        <w:t>Contos</w:t>
      </w:r>
      <w:proofErr w:type="spellEnd"/>
      <w:r w:rsidR="003D64A0" w:rsidRPr="00724B94">
        <w:rPr>
          <w:rFonts w:ascii="Book Antiqua" w:hAnsi="Book Antiqua"/>
          <w:szCs w:val="24"/>
        </w:rPr>
        <w:t xml:space="preserve"> has recently </w:t>
      </w:r>
      <w:r w:rsidR="0043581C">
        <w:rPr>
          <w:rFonts w:ascii="Book Antiqua" w:hAnsi="Book Antiqua"/>
          <w:szCs w:val="24"/>
        </w:rPr>
        <w:t>drawn</w:t>
      </w:r>
      <w:r w:rsidR="0043581C" w:rsidRPr="00724B94">
        <w:rPr>
          <w:rFonts w:ascii="Book Antiqua" w:hAnsi="Book Antiqua"/>
          <w:szCs w:val="24"/>
        </w:rPr>
        <w:t xml:space="preserve"> </w:t>
      </w:r>
      <w:r w:rsidR="003D64A0" w:rsidRPr="00724B94">
        <w:rPr>
          <w:rFonts w:ascii="Book Antiqua" w:hAnsi="Book Antiqua"/>
          <w:szCs w:val="24"/>
        </w:rPr>
        <w:t>attention</w:t>
      </w:r>
      <w:r w:rsidR="003D64A0" w:rsidRPr="007B7CF0">
        <w:rPr>
          <w:rFonts w:ascii="Book Antiqua" w:hAnsi="Book Antiqua"/>
          <w:szCs w:val="24"/>
        </w:rPr>
        <w:t xml:space="preserve"> to the experiences of many young women who feel that sex is expected of them.</w:t>
      </w:r>
      <w:r w:rsidR="00ED0AD2" w:rsidRPr="007B7CF0">
        <w:rPr>
          <w:rStyle w:val="FootnoteReference"/>
          <w:rFonts w:ascii="Book Antiqua" w:hAnsi="Book Antiqua" w:cs="Arial"/>
          <w:szCs w:val="24"/>
        </w:rPr>
        <w:footnoteReference w:id="45"/>
      </w:r>
      <w:r w:rsidR="003D64A0" w:rsidRPr="007B7CF0">
        <w:rPr>
          <w:rFonts w:ascii="Book Antiqua" w:hAnsi="Book Antiqua"/>
          <w:szCs w:val="24"/>
        </w:rPr>
        <w:t xml:space="preserve"> </w:t>
      </w:r>
      <w:r w:rsidR="00E848D8" w:rsidRPr="007B7CF0">
        <w:rPr>
          <w:rFonts w:ascii="Book Antiqua" w:hAnsi="Book Antiqua"/>
          <w:szCs w:val="24"/>
        </w:rPr>
        <w:t xml:space="preserve"> </w:t>
      </w:r>
      <w:r w:rsidR="008A0DD8">
        <w:rPr>
          <w:rFonts w:ascii="Book Antiqua" w:hAnsi="Book Antiqua"/>
          <w:szCs w:val="24"/>
        </w:rPr>
        <w:t>It would seem that there</w:t>
      </w:r>
      <w:r w:rsidR="00E848D8" w:rsidRPr="007B7CF0">
        <w:rPr>
          <w:rFonts w:ascii="Book Antiqua" w:hAnsi="Book Antiqua"/>
          <w:szCs w:val="24"/>
        </w:rPr>
        <w:t xml:space="preserve"> </w:t>
      </w:r>
      <w:r w:rsidR="003A7492" w:rsidRPr="007B7CF0">
        <w:rPr>
          <w:rFonts w:ascii="Book Antiqua" w:hAnsi="Book Antiqua"/>
          <w:szCs w:val="24"/>
        </w:rPr>
        <w:t>are</w:t>
      </w:r>
      <w:r w:rsidR="00BA37C7" w:rsidRPr="007B7CF0">
        <w:rPr>
          <w:rFonts w:ascii="Book Antiqua" w:hAnsi="Book Antiqua"/>
          <w:szCs w:val="24"/>
        </w:rPr>
        <w:t xml:space="preserve"> many </w:t>
      </w:r>
      <w:r w:rsidR="003D64A0" w:rsidRPr="007B7CF0">
        <w:rPr>
          <w:rFonts w:ascii="Book Antiqua" w:hAnsi="Book Antiqua"/>
          <w:szCs w:val="24"/>
        </w:rPr>
        <w:t>ways</w:t>
      </w:r>
      <w:r w:rsidR="003A7492" w:rsidRPr="007B7CF0">
        <w:rPr>
          <w:rFonts w:ascii="Book Antiqua" w:hAnsi="Book Antiqua"/>
          <w:szCs w:val="24"/>
        </w:rPr>
        <w:t xml:space="preserve"> </w:t>
      </w:r>
      <w:r w:rsidR="00492886" w:rsidRPr="007B7CF0">
        <w:rPr>
          <w:rFonts w:ascii="Book Antiqua" w:hAnsi="Book Antiqua"/>
          <w:szCs w:val="24"/>
        </w:rPr>
        <w:t>in</w:t>
      </w:r>
      <w:r w:rsidR="00D575A1">
        <w:rPr>
          <w:rFonts w:ascii="Book Antiqua" w:hAnsi="Book Antiqua"/>
          <w:szCs w:val="24"/>
        </w:rPr>
        <w:t xml:space="preserve"> which</w:t>
      </w:r>
      <w:r w:rsidR="00492886" w:rsidRPr="007B7CF0">
        <w:rPr>
          <w:rFonts w:ascii="Book Antiqua" w:hAnsi="Book Antiqua"/>
          <w:szCs w:val="24"/>
        </w:rPr>
        <w:t xml:space="preserve"> this expectation is</w:t>
      </w:r>
      <w:r w:rsidR="00E848D8" w:rsidRPr="007B7CF0">
        <w:rPr>
          <w:rFonts w:ascii="Book Antiqua" w:hAnsi="Book Antiqua"/>
          <w:szCs w:val="24"/>
        </w:rPr>
        <w:t xml:space="preserve"> </w:t>
      </w:r>
      <w:r w:rsidR="00E077E0">
        <w:rPr>
          <w:rFonts w:ascii="Book Antiqua" w:hAnsi="Book Antiqua"/>
          <w:szCs w:val="24"/>
        </w:rPr>
        <w:t xml:space="preserve">considered to be </w:t>
      </w:r>
      <w:r w:rsidR="00492886" w:rsidRPr="007B7CF0">
        <w:rPr>
          <w:rFonts w:ascii="Book Antiqua" w:hAnsi="Book Antiqua"/>
          <w:szCs w:val="24"/>
        </w:rPr>
        <w:t>reasonable and accept</w:t>
      </w:r>
      <w:r w:rsidR="00442D2A">
        <w:rPr>
          <w:rFonts w:ascii="Book Antiqua" w:hAnsi="Book Antiqua"/>
          <w:szCs w:val="24"/>
        </w:rPr>
        <w:t>able</w:t>
      </w:r>
      <w:r w:rsidR="006A7D86">
        <w:rPr>
          <w:rFonts w:ascii="Book Antiqua" w:hAnsi="Book Antiqua"/>
          <w:szCs w:val="24"/>
        </w:rPr>
        <w:t>,</w:t>
      </w:r>
      <w:r w:rsidR="008633FE">
        <w:rPr>
          <w:rFonts w:ascii="Book Antiqua" w:hAnsi="Book Antiqua"/>
          <w:szCs w:val="24"/>
        </w:rPr>
        <w:t xml:space="preserve"> </w:t>
      </w:r>
      <w:r w:rsidR="006A7D86">
        <w:rPr>
          <w:rFonts w:ascii="Book Antiqua" w:hAnsi="Book Antiqua"/>
          <w:szCs w:val="24"/>
        </w:rPr>
        <w:t xml:space="preserve">or </w:t>
      </w:r>
      <w:r w:rsidR="00FB35B0">
        <w:rPr>
          <w:rFonts w:ascii="Book Antiqua" w:hAnsi="Book Antiqua"/>
          <w:szCs w:val="24"/>
        </w:rPr>
        <w:t xml:space="preserve">that </w:t>
      </w:r>
      <w:r w:rsidR="00916936">
        <w:rPr>
          <w:rFonts w:ascii="Book Antiqua" w:hAnsi="Book Antiqua"/>
          <w:szCs w:val="24"/>
        </w:rPr>
        <w:t xml:space="preserve">conduct such as being out with friends at night is </w:t>
      </w:r>
      <w:r w:rsidR="00297572">
        <w:rPr>
          <w:rFonts w:ascii="Book Antiqua" w:hAnsi="Book Antiqua"/>
          <w:szCs w:val="24"/>
        </w:rPr>
        <w:t xml:space="preserve">a </w:t>
      </w:r>
      <w:r w:rsidR="008633FE">
        <w:rPr>
          <w:rFonts w:ascii="Book Antiqua" w:hAnsi="Book Antiqua"/>
          <w:szCs w:val="24"/>
        </w:rPr>
        <w:t>sufficient indication of consent</w:t>
      </w:r>
      <w:r w:rsidR="00C40F79">
        <w:rPr>
          <w:rFonts w:ascii="Book Antiqua" w:hAnsi="Book Antiqua"/>
          <w:szCs w:val="24"/>
        </w:rPr>
        <w:t xml:space="preserve">. </w:t>
      </w:r>
      <w:r w:rsidR="00297572">
        <w:rPr>
          <w:rFonts w:ascii="Book Antiqua" w:hAnsi="Book Antiqua"/>
          <w:szCs w:val="24"/>
        </w:rPr>
        <w:t xml:space="preserve">Another example given is </w:t>
      </w:r>
      <w:r w:rsidR="003D64A0" w:rsidRPr="007B7CF0">
        <w:rPr>
          <w:rFonts w:ascii="Book Antiqua" w:hAnsi="Book Antiqua"/>
          <w:szCs w:val="24"/>
        </w:rPr>
        <w:t xml:space="preserve">wearing clothing which makes the young woman </w:t>
      </w:r>
      <w:r w:rsidR="00297572">
        <w:rPr>
          <w:rFonts w:ascii="Book Antiqua" w:hAnsi="Book Antiqua"/>
          <w:szCs w:val="24"/>
        </w:rPr>
        <w:t>‘</w:t>
      </w:r>
      <w:r w:rsidR="003D64A0" w:rsidRPr="007B7CF0">
        <w:rPr>
          <w:rFonts w:ascii="Book Antiqua" w:hAnsi="Book Antiqua"/>
          <w:szCs w:val="24"/>
        </w:rPr>
        <w:t>feel good</w:t>
      </w:r>
      <w:r w:rsidR="00297572">
        <w:rPr>
          <w:rFonts w:ascii="Book Antiqua" w:hAnsi="Book Antiqua"/>
          <w:szCs w:val="24"/>
        </w:rPr>
        <w:t>’</w:t>
      </w:r>
      <w:r w:rsidR="008A2FE9">
        <w:rPr>
          <w:rFonts w:ascii="Book Antiqua" w:hAnsi="Book Antiqua"/>
          <w:szCs w:val="24"/>
        </w:rPr>
        <w:t xml:space="preserve"> </w:t>
      </w:r>
      <w:r w:rsidR="009245E4">
        <w:rPr>
          <w:rFonts w:ascii="Book Antiqua" w:hAnsi="Book Antiqua"/>
          <w:szCs w:val="24"/>
        </w:rPr>
        <w:t xml:space="preserve">as </w:t>
      </w:r>
      <w:r w:rsidR="003D64A0" w:rsidRPr="007B7CF0">
        <w:rPr>
          <w:rFonts w:ascii="Book Antiqua" w:hAnsi="Book Antiqua"/>
          <w:szCs w:val="24"/>
        </w:rPr>
        <w:t>an aspect of exploring her own sexuality</w:t>
      </w:r>
      <w:r w:rsidR="00297572">
        <w:rPr>
          <w:rFonts w:ascii="Book Antiqua" w:hAnsi="Book Antiqua"/>
          <w:szCs w:val="24"/>
        </w:rPr>
        <w:t xml:space="preserve">. Another </w:t>
      </w:r>
      <w:r w:rsidR="00C50E77">
        <w:rPr>
          <w:rFonts w:ascii="Book Antiqua" w:hAnsi="Book Antiqua"/>
          <w:szCs w:val="24"/>
        </w:rPr>
        <w:t xml:space="preserve">is that </w:t>
      </w:r>
      <w:r w:rsidR="00AC695D">
        <w:rPr>
          <w:rFonts w:ascii="Book Antiqua" w:hAnsi="Book Antiqua"/>
          <w:szCs w:val="24"/>
        </w:rPr>
        <w:t>ascertain</w:t>
      </w:r>
      <w:r w:rsidR="00C40F79">
        <w:rPr>
          <w:rFonts w:ascii="Book Antiqua" w:hAnsi="Book Antiqua"/>
          <w:szCs w:val="24"/>
        </w:rPr>
        <w:t>ing</w:t>
      </w:r>
      <w:r w:rsidR="00AC695D">
        <w:rPr>
          <w:rFonts w:ascii="Book Antiqua" w:hAnsi="Book Antiqua"/>
          <w:szCs w:val="24"/>
        </w:rPr>
        <w:t xml:space="preserve"> whether a person </w:t>
      </w:r>
      <w:r w:rsidR="00750975">
        <w:rPr>
          <w:rFonts w:ascii="Book Antiqua" w:hAnsi="Book Antiqua"/>
          <w:szCs w:val="24"/>
        </w:rPr>
        <w:t>c</w:t>
      </w:r>
      <w:r w:rsidR="000563AB">
        <w:rPr>
          <w:rFonts w:ascii="Book Antiqua" w:hAnsi="Book Antiqua"/>
          <w:szCs w:val="24"/>
        </w:rPr>
        <w:t>onsent</w:t>
      </w:r>
      <w:r w:rsidR="00AC695D">
        <w:rPr>
          <w:rFonts w:ascii="Book Antiqua" w:hAnsi="Book Antiqua"/>
          <w:szCs w:val="24"/>
        </w:rPr>
        <w:t>s</w:t>
      </w:r>
      <w:r w:rsidR="000563AB">
        <w:rPr>
          <w:rFonts w:ascii="Book Antiqua" w:hAnsi="Book Antiqua"/>
          <w:szCs w:val="24"/>
        </w:rPr>
        <w:t xml:space="preserve"> </w:t>
      </w:r>
      <w:r w:rsidR="00C50E77">
        <w:rPr>
          <w:rFonts w:ascii="Book Antiqua" w:hAnsi="Book Antiqua"/>
          <w:szCs w:val="24"/>
        </w:rPr>
        <w:t xml:space="preserve">is </w:t>
      </w:r>
      <w:r w:rsidR="000563AB">
        <w:rPr>
          <w:rFonts w:ascii="Book Antiqua" w:hAnsi="Book Antiqua"/>
          <w:szCs w:val="24"/>
        </w:rPr>
        <w:t>irrelevant</w:t>
      </w:r>
      <w:r w:rsidR="00750975">
        <w:rPr>
          <w:rFonts w:ascii="Book Antiqua" w:hAnsi="Book Antiqua"/>
          <w:szCs w:val="24"/>
        </w:rPr>
        <w:t xml:space="preserve"> </w:t>
      </w:r>
      <w:r w:rsidR="000563AB">
        <w:rPr>
          <w:rFonts w:ascii="Book Antiqua" w:hAnsi="Book Antiqua"/>
          <w:szCs w:val="24"/>
        </w:rPr>
        <w:t>because ‘</w:t>
      </w:r>
      <w:r w:rsidR="003D64A0" w:rsidRPr="007B7CF0">
        <w:rPr>
          <w:rFonts w:ascii="Book Antiqua" w:hAnsi="Book Antiqua"/>
          <w:szCs w:val="24"/>
        </w:rPr>
        <w:t>sex is what happens</w:t>
      </w:r>
      <w:r w:rsidR="000563AB">
        <w:rPr>
          <w:rFonts w:ascii="Book Antiqua" w:hAnsi="Book Antiqua"/>
          <w:szCs w:val="24"/>
        </w:rPr>
        <w:t>’</w:t>
      </w:r>
      <w:r w:rsidR="003D64A0" w:rsidRPr="007B7CF0">
        <w:rPr>
          <w:rFonts w:ascii="Book Antiqua" w:hAnsi="Book Antiqua"/>
          <w:szCs w:val="24"/>
        </w:rPr>
        <w:t xml:space="preserve">.   </w:t>
      </w:r>
    </w:p>
    <w:p w14:paraId="3C41BAF0" w14:textId="72A5695A" w:rsidR="003D64A0" w:rsidRPr="007B7CF0" w:rsidRDefault="00F426CA" w:rsidP="007B7CF0">
      <w:pPr>
        <w:pStyle w:val="NumParra"/>
        <w:jc w:val="both"/>
        <w:rPr>
          <w:rFonts w:ascii="Book Antiqua" w:hAnsi="Book Antiqua"/>
          <w:szCs w:val="24"/>
        </w:rPr>
      </w:pPr>
      <w:r>
        <w:rPr>
          <w:rFonts w:ascii="Book Antiqua" w:hAnsi="Book Antiqua"/>
          <w:szCs w:val="24"/>
        </w:rPr>
        <w:t>Chanel</w:t>
      </w:r>
      <w:r w:rsidR="00575B55" w:rsidRPr="007B7CF0">
        <w:rPr>
          <w:rFonts w:ascii="Book Antiqua" w:hAnsi="Book Antiqua"/>
          <w:szCs w:val="24"/>
        </w:rPr>
        <w:t xml:space="preserve"> </w:t>
      </w:r>
      <w:proofErr w:type="spellStart"/>
      <w:r w:rsidR="00575B55" w:rsidRPr="007B7CF0">
        <w:rPr>
          <w:rFonts w:ascii="Book Antiqua" w:hAnsi="Book Antiqua"/>
          <w:szCs w:val="24"/>
        </w:rPr>
        <w:t>Contos</w:t>
      </w:r>
      <w:proofErr w:type="spellEnd"/>
      <w:r w:rsidR="00C24039" w:rsidRPr="007B7CF0">
        <w:rPr>
          <w:rFonts w:ascii="Book Antiqua" w:hAnsi="Book Antiqua"/>
          <w:szCs w:val="24"/>
        </w:rPr>
        <w:t xml:space="preserve"> </w:t>
      </w:r>
      <w:r w:rsidR="003D64A0" w:rsidRPr="007B7CF0">
        <w:rPr>
          <w:rFonts w:ascii="Book Antiqua" w:hAnsi="Book Antiqua"/>
          <w:szCs w:val="24"/>
        </w:rPr>
        <w:t xml:space="preserve">gained </w:t>
      </w:r>
      <w:r w:rsidR="009245E4">
        <w:rPr>
          <w:rFonts w:ascii="Book Antiqua" w:hAnsi="Book Antiqua"/>
          <w:szCs w:val="24"/>
        </w:rPr>
        <w:t>significant</w:t>
      </w:r>
      <w:r w:rsidR="003D64A0" w:rsidRPr="007B7CF0">
        <w:rPr>
          <w:rFonts w:ascii="Book Antiqua" w:hAnsi="Book Antiqua"/>
          <w:szCs w:val="24"/>
        </w:rPr>
        <w:t xml:space="preserve"> media coverage</w:t>
      </w:r>
      <w:r w:rsidR="006D52BA">
        <w:rPr>
          <w:rFonts w:ascii="Book Antiqua" w:hAnsi="Book Antiqua"/>
          <w:szCs w:val="24"/>
        </w:rPr>
        <w:t xml:space="preserve">, particularly </w:t>
      </w:r>
      <w:r w:rsidR="004F5DE5">
        <w:rPr>
          <w:rFonts w:ascii="Book Antiqua" w:hAnsi="Book Antiqua"/>
          <w:szCs w:val="24"/>
        </w:rPr>
        <w:t>through</w:t>
      </w:r>
      <w:r w:rsidR="006D52BA">
        <w:rPr>
          <w:rFonts w:ascii="Book Antiqua" w:hAnsi="Book Antiqua"/>
          <w:szCs w:val="24"/>
        </w:rPr>
        <w:t xml:space="preserve"> her </w:t>
      </w:r>
      <w:r w:rsidR="00B5694E">
        <w:rPr>
          <w:rFonts w:ascii="Book Antiqua" w:hAnsi="Book Antiqua"/>
          <w:szCs w:val="24"/>
        </w:rPr>
        <w:t xml:space="preserve">online </w:t>
      </w:r>
      <w:r w:rsidR="006D52BA">
        <w:rPr>
          <w:rFonts w:ascii="Book Antiqua" w:hAnsi="Book Antiqua"/>
          <w:szCs w:val="24"/>
        </w:rPr>
        <w:t xml:space="preserve">petition for better </w:t>
      </w:r>
      <w:r w:rsidR="00B5694E">
        <w:rPr>
          <w:rFonts w:ascii="Book Antiqua" w:hAnsi="Book Antiqua"/>
          <w:szCs w:val="24"/>
        </w:rPr>
        <w:t>consent</w:t>
      </w:r>
      <w:r w:rsidR="006D52BA">
        <w:rPr>
          <w:rFonts w:ascii="Book Antiqua" w:hAnsi="Book Antiqua"/>
          <w:szCs w:val="24"/>
        </w:rPr>
        <w:t xml:space="preserve"> education in school</w:t>
      </w:r>
      <w:r w:rsidR="00621508">
        <w:rPr>
          <w:rFonts w:ascii="Book Antiqua" w:hAnsi="Book Antiqua"/>
          <w:szCs w:val="24"/>
        </w:rPr>
        <w:t xml:space="preserve">. </w:t>
      </w:r>
      <w:r w:rsidR="004B1960" w:rsidRPr="007B7CF0">
        <w:rPr>
          <w:rFonts w:ascii="Book Antiqua" w:hAnsi="Book Antiqua"/>
          <w:szCs w:val="24"/>
        </w:rPr>
        <w:t xml:space="preserve">However, </w:t>
      </w:r>
      <w:r w:rsidR="00F52355" w:rsidRPr="007B7CF0">
        <w:rPr>
          <w:rFonts w:ascii="Book Antiqua" w:hAnsi="Book Antiqua"/>
          <w:szCs w:val="24"/>
        </w:rPr>
        <w:t>to be properly informed</w:t>
      </w:r>
      <w:r w:rsidR="008F63BD">
        <w:rPr>
          <w:rFonts w:ascii="Book Antiqua" w:hAnsi="Book Antiqua"/>
          <w:szCs w:val="24"/>
        </w:rPr>
        <w:t xml:space="preserve">, to know </w:t>
      </w:r>
      <w:r w:rsidR="00254406">
        <w:rPr>
          <w:rFonts w:ascii="Book Antiqua" w:hAnsi="Book Antiqua"/>
          <w:szCs w:val="24"/>
        </w:rPr>
        <w:t xml:space="preserve">the nature </w:t>
      </w:r>
      <w:r w:rsidR="008F63BD">
        <w:rPr>
          <w:rFonts w:ascii="Book Antiqua" w:hAnsi="Book Antiqua"/>
          <w:szCs w:val="24"/>
        </w:rPr>
        <w:t xml:space="preserve">and the extent of a problem and to know how to </w:t>
      </w:r>
      <w:r w:rsidR="00254406">
        <w:rPr>
          <w:rFonts w:ascii="Book Antiqua" w:hAnsi="Book Antiqua"/>
          <w:szCs w:val="24"/>
        </w:rPr>
        <w:t xml:space="preserve">effectively </w:t>
      </w:r>
      <w:r w:rsidR="00E21D90">
        <w:rPr>
          <w:rFonts w:ascii="Book Antiqua" w:hAnsi="Book Antiqua"/>
          <w:szCs w:val="24"/>
        </w:rPr>
        <w:t>respond</w:t>
      </w:r>
      <w:r w:rsidR="00254406">
        <w:rPr>
          <w:rFonts w:ascii="Book Antiqua" w:hAnsi="Book Antiqua"/>
          <w:szCs w:val="24"/>
        </w:rPr>
        <w:t>,</w:t>
      </w:r>
      <w:r w:rsidR="00E21D90">
        <w:rPr>
          <w:rFonts w:ascii="Book Antiqua" w:hAnsi="Book Antiqua"/>
          <w:szCs w:val="24"/>
        </w:rPr>
        <w:t xml:space="preserve"> </w:t>
      </w:r>
      <w:r w:rsidR="004B1960" w:rsidRPr="007B7CF0">
        <w:rPr>
          <w:rFonts w:ascii="Book Antiqua" w:hAnsi="Book Antiqua"/>
          <w:szCs w:val="24"/>
        </w:rPr>
        <w:t>l</w:t>
      </w:r>
      <w:r w:rsidR="00611EED" w:rsidRPr="007B7CF0">
        <w:rPr>
          <w:rFonts w:ascii="Book Antiqua" w:hAnsi="Book Antiqua"/>
          <w:szCs w:val="24"/>
        </w:rPr>
        <w:t xml:space="preserve">awyers, legislators, </w:t>
      </w:r>
      <w:proofErr w:type="gramStart"/>
      <w:r w:rsidR="00611EED" w:rsidRPr="007B7CF0">
        <w:rPr>
          <w:rFonts w:ascii="Book Antiqua" w:hAnsi="Book Antiqua"/>
          <w:szCs w:val="24"/>
        </w:rPr>
        <w:t>policymakers</w:t>
      </w:r>
      <w:proofErr w:type="gramEnd"/>
      <w:r w:rsidR="00611EED" w:rsidRPr="007B7CF0">
        <w:rPr>
          <w:rFonts w:ascii="Book Antiqua" w:hAnsi="Book Antiqua"/>
          <w:szCs w:val="24"/>
        </w:rPr>
        <w:t xml:space="preserve"> and</w:t>
      </w:r>
      <w:r w:rsidR="004B1960" w:rsidRPr="007B7CF0">
        <w:rPr>
          <w:rFonts w:ascii="Book Antiqua" w:hAnsi="Book Antiqua"/>
          <w:szCs w:val="24"/>
        </w:rPr>
        <w:t xml:space="preserve"> the community </w:t>
      </w:r>
      <w:r w:rsidR="00C40F79">
        <w:rPr>
          <w:rFonts w:ascii="Book Antiqua" w:hAnsi="Book Antiqua"/>
          <w:szCs w:val="24"/>
        </w:rPr>
        <w:t>need to examine the data and understand its implications</w:t>
      </w:r>
      <w:r w:rsidR="00621508">
        <w:rPr>
          <w:rFonts w:ascii="Book Antiqua" w:hAnsi="Book Antiqua"/>
          <w:szCs w:val="24"/>
        </w:rPr>
        <w:t xml:space="preserve">. </w:t>
      </w:r>
    </w:p>
    <w:p w14:paraId="3CCDBDC0" w14:textId="6D59264C" w:rsidR="00AF629B" w:rsidRPr="000B0B87" w:rsidRDefault="000B0B87" w:rsidP="000B0B87">
      <w:pPr>
        <w:pStyle w:val="NumParra"/>
        <w:jc w:val="both"/>
        <w:rPr>
          <w:rFonts w:ascii="Book Antiqua" w:hAnsi="Book Antiqua" w:cs="Arial"/>
          <w:szCs w:val="24"/>
        </w:rPr>
      </w:pPr>
      <w:r>
        <w:rPr>
          <w:rFonts w:ascii="Book Antiqua" w:hAnsi="Book Antiqua"/>
          <w:szCs w:val="24"/>
          <w:shd w:val="clear" w:color="auto" w:fill="FFFFFF"/>
          <w:lang w:eastAsia="fr-FR"/>
        </w:rPr>
        <w:lastRenderedPageBreak/>
        <w:t>Since</w:t>
      </w:r>
      <w:r w:rsidR="003A72C1" w:rsidRPr="007B7CF0">
        <w:rPr>
          <w:rFonts w:ascii="Book Antiqua" w:hAnsi="Book Antiqua"/>
          <w:szCs w:val="24"/>
          <w:shd w:val="clear" w:color="auto" w:fill="FFFFFF"/>
          <w:lang w:eastAsia="fr-FR"/>
        </w:rPr>
        <w:t xml:space="preserve"> 2005</w:t>
      </w:r>
      <w:r w:rsidR="001B5775">
        <w:rPr>
          <w:rFonts w:ascii="Book Antiqua" w:hAnsi="Book Antiqua"/>
          <w:szCs w:val="24"/>
          <w:shd w:val="clear" w:color="auto" w:fill="FFFFFF"/>
          <w:lang w:eastAsia="fr-FR"/>
        </w:rPr>
        <w:t>, t</w:t>
      </w:r>
      <w:r w:rsidR="003D64A0" w:rsidRPr="007B7CF0">
        <w:rPr>
          <w:rFonts w:ascii="Book Antiqua" w:hAnsi="Book Antiqua"/>
          <w:szCs w:val="24"/>
          <w:shd w:val="clear" w:color="auto" w:fill="FFFFFF"/>
          <w:lang w:eastAsia="fr-FR"/>
        </w:rPr>
        <w:t>he Australian Bureau of Statistics ha</w:t>
      </w:r>
      <w:r w:rsidR="001B5775">
        <w:rPr>
          <w:rFonts w:ascii="Book Antiqua" w:hAnsi="Book Antiqua"/>
          <w:szCs w:val="24"/>
          <w:shd w:val="clear" w:color="auto" w:fill="FFFFFF"/>
          <w:lang w:eastAsia="fr-FR"/>
        </w:rPr>
        <w:t>s</w:t>
      </w:r>
      <w:r w:rsidR="003D64A0" w:rsidRPr="007B7CF0">
        <w:rPr>
          <w:rFonts w:ascii="Book Antiqua" w:hAnsi="Book Antiqua"/>
          <w:szCs w:val="24"/>
          <w:shd w:val="clear" w:color="auto" w:fill="FFFFFF"/>
          <w:lang w:eastAsia="fr-FR"/>
        </w:rPr>
        <w:t xml:space="preserve"> conducted a </w:t>
      </w:r>
      <w:r w:rsidR="003D64A0" w:rsidRPr="00ED1C1E">
        <w:rPr>
          <w:rFonts w:ascii="Book Antiqua" w:hAnsi="Book Antiqua"/>
          <w:szCs w:val="24"/>
          <w:shd w:val="clear" w:color="auto" w:fill="FFFFFF"/>
          <w:lang w:eastAsia="fr-FR"/>
        </w:rPr>
        <w:t>Personal Safety</w:t>
      </w:r>
      <w:r w:rsidR="003D64A0" w:rsidRPr="007B7CF0">
        <w:rPr>
          <w:rFonts w:ascii="Book Antiqua" w:hAnsi="Book Antiqua"/>
          <w:i/>
          <w:iCs/>
          <w:szCs w:val="24"/>
          <w:shd w:val="clear" w:color="auto" w:fill="FFFFFF"/>
          <w:lang w:eastAsia="fr-FR"/>
        </w:rPr>
        <w:t xml:space="preserve"> </w:t>
      </w:r>
      <w:r w:rsidR="00B37612">
        <w:rPr>
          <w:rFonts w:ascii="Book Antiqua" w:hAnsi="Book Antiqua"/>
          <w:szCs w:val="24"/>
          <w:shd w:val="clear" w:color="auto" w:fill="FFFFFF"/>
          <w:lang w:eastAsia="fr-FR"/>
        </w:rPr>
        <w:t>Survey</w:t>
      </w:r>
      <w:r w:rsidR="00254406">
        <w:rPr>
          <w:rFonts w:ascii="Book Antiqua" w:hAnsi="Book Antiqua"/>
          <w:szCs w:val="24"/>
          <w:shd w:val="clear" w:color="auto" w:fill="FFFFFF"/>
          <w:lang w:eastAsia="fr-FR"/>
        </w:rPr>
        <w:t>.</w:t>
      </w:r>
      <w:r w:rsidR="00254406">
        <w:rPr>
          <w:rStyle w:val="FootnoteReference"/>
          <w:rFonts w:ascii="Book Antiqua" w:hAnsi="Book Antiqua"/>
          <w:szCs w:val="24"/>
          <w:shd w:val="clear" w:color="auto" w:fill="FFFFFF"/>
          <w:lang w:eastAsia="fr-FR"/>
        </w:rPr>
        <w:footnoteReference w:id="46"/>
      </w:r>
      <w:r w:rsidR="00ED1C1E">
        <w:rPr>
          <w:rFonts w:ascii="Book Antiqua" w:hAnsi="Book Antiqua"/>
          <w:szCs w:val="24"/>
          <w:shd w:val="clear" w:color="auto" w:fill="FFFFFF"/>
          <w:lang w:eastAsia="fr-FR"/>
        </w:rPr>
        <w:t xml:space="preserve"> </w:t>
      </w:r>
      <w:r w:rsidR="00C40F79">
        <w:rPr>
          <w:rFonts w:ascii="Book Antiqua" w:hAnsi="Book Antiqua"/>
          <w:szCs w:val="24"/>
          <w:shd w:val="clear" w:color="auto" w:fill="FFFFFF"/>
          <w:lang w:eastAsia="fr-FR"/>
        </w:rPr>
        <w:t xml:space="preserve"> </w:t>
      </w:r>
      <w:r w:rsidR="004176ED">
        <w:rPr>
          <w:rFonts w:ascii="Book Antiqua" w:hAnsi="Book Antiqua"/>
          <w:szCs w:val="24"/>
          <w:shd w:val="clear" w:color="auto" w:fill="FFFFFF"/>
          <w:lang w:eastAsia="fr-FR"/>
        </w:rPr>
        <w:t xml:space="preserve">The </w:t>
      </w:r>
      <w:r w:rsidR="007329F1">
        <w:rPr>
          <w:rFonts w:ascii="Book Antiqua" w:hAnsi="Book Antiqua"/>
          <w:szCs w:val="24"/>
          <w:shd w:val="clear" w:color="auto" w:fill="FFFFFF"/>
          <w:lang w:eastAsia="fr-FR"/>
        </w:rPr>
        <w:t xml:space="preserve">Personal Safety </w:t>
      </w:r>
      <w:r w:rsidR="00B37612">
        <w:rPr>
          <w:rFonts w:ascii="Book Antiqua" w:hAnsi="Book Antiqua"/>
          <w:szCs w:val="24"/>
          <w:shd w:val="clear" w:color="auto" w:fill="FFFFFF"/>
          <w:lang w:eastAsia="fr-FR"/>
        </w:rPr>
        <w:t>Survey</w:t>
      </w:r>
      <w:r w:rsidR="007329F1">
        <w:rPr>
          <w:rFonts w:ascii="Book Antiqua" w:hAnsi="Book Antiqua"/>
          <w:szCs w:val="24"/>
          <w:shd w:val="clear" w:color="auto" w:fill="FFFFFF"/>
          <w:lang w:eastAsia="fr-FR"/>
        </w:rPr>
        <w:t xml:space="preserve"> collects </w:t>
      </w:r>
      <w:r w:rsidR="003D64A0" w:rsidRPr="007B7CF0">
        <w:rPr>
          <w:rFonts w:ascii="Book Antiqua" w:hAnsi="Book Antiqua"/>
          <w:szCs w:val="24"/>
          <w:shd w:val="clear" w:color="auto" w:fill="FFFFFF"/>
          <w:lang w:eastAsia="fr-FR"/>
        </w:rPr>
        <w:t>information from men and women aged 18 years and over</w:t>
      </w:r>
      <w:r w:rsidR="005C4F88" w:rsidRPr="007B7CF0">
        <w:rPr>
          <w:rFonts w:ascii="Book Antiqua" w:hAnsi="Book Antiqua"/>
          <w:szCs w:val="24"/>
          <w:shd w:val="clear" w:color="auto" w:fill="FFFFFF"/>
          <w:lang w:eastAsia="fr-FR"/>
        </w:rPr>
        <w:t xml:space="preserve"> </w:t>
      </w:r>
      <w:r w:rsidR="003D64A0" w:rsidRPr="007B7CF0">
        <w:rPr>
          <w:rFonts w:ascii="Book Antiqua" w:hAnsi="Book Antiqua"/>
          <w:szCs w:val="24"/>
          <w:shd w:val="clear" w:color="auto" w:fill="FFFFFF"/>
          <w:lang w:eastAsia="fr-FR"/>
        </w:rPr>
        <w:t>about the nature and extent of violence</w:t>
      </w:r>
      <w:r w:rsidR="00F10E24">
        <w:rPr>
          <w:rFonts w:ascii="Book Antiqua" w:hAnsi="Book Antiqua"/>
          <w:szCs w:val="24"/>
          <w:shd w:val="clear" w:color="auto" w:fill="FFFFFF"/>
          <w:lang w:eastAsia="fr-FR"/>
        </w:rPr>
        <w:t xml:space="preserve"> they have</w:t>
      </w:r>
      <w:r w:rsidR="003D64A0" w:rsidRPr="007B7CF0">
        <w:rPr>
          <w:rFonts w:ascii="Book Antiqua" w:hAnsi="Book Antiqua"/>
          <w:szCs w:val="24"/>
          <w:shd w:val="clear" w:color="auto" w:fill="FFFFFF"/>
          <w:lang w:eastAsia="fr-FR"/>
        </w:rPr>
        <w:t xml:space="preserve"> experienced since the age of 15. </w:t>
      </w:r>
      <w:r>
        <w:rPr>
          <w:rFonts w:ascii="Book Antiqua" w:eastAsia="Times New Roman" w:hAnsi="Book Antiqua" w:cs="Arial"/>
          <w:color w:val="333333"/>
          <w:szCs w:val="24"/>
          <w:shd w:val="clear" w:color="auto" w:fill="FFFFFF"/>
          <w:lang w:eastAsia="fr-FR"/>
        </w:rPr>
        <w:t>T</w:t>
      </w:r>
      <w:r w:rsidRPr="007B7CF0">
        <w:rPr>
          <w:rFonts w:ascii="Book Antiqua" w:eastAsia="Times New Roman" w:hAnsi="Book Antiqua" w:cs="Arial"/>
          <w:color w:val="333333"/>
          <w:szCs w:val="24"/>
          <w:shd w:val="clear" w:color="auto" w:fill="FFFFFF"/>
          <w:lang w:eastAsia="fr-FR"/>
        </w:rPr>
        <w:t xml:space="preserve">he Survey </w:t>
      </w:r>
      <w:r w:rsidR="00653420">
        <w:rPr>
          <w:rFonts w:ascii="Book Antiqua" w:eastAsia="Times New Roman" w:hAnsi="Book Antiqua" w:cs="Arial"/>
          <w:color w:val="333333"/>
          <w:szCs w:val="24"/>
          <w:shd w:val="clear" w:color="auto" w:fill="FFFFFF"/>
          <w:lang w:eastAsia="fr-FR"/>
        </w:rPr>
        <w:t xml:space="preserve">has been subsequently </w:t>
      </w:r>
      <w:r w:rsidRPr="007B7CF0">
        <w:rPr>
          <w:rFonts w:ascii="Book Antiqua" w:eastAsia="Times New Roman" w:hAnsi="Book Antiqua" w:cs="Arial"/>
          <w:color w:val="333333"/>
          <w:szCs w:val="24"/>
          <w:shd w:val="clear" w:color="auto" w:fill="FFFFFF"/>
          <w:lang w:eastAsia="fr-FR"/>
        </w:rPr>
        <w:t xml:space="preserve">conducted </w:t>
      </w:r>
      <w:r>
        <w:rPr>
          <w:rFonts w:ascii="Book Antiqua" w:eastAsia="Times New Roman" w:hAnsi="Book Antiqua" w:cs="Arial"/>
          <w:color w:val="333333"/>
          <w:szCs w:val="24"/>
          <w:shd w:val="clear" w:color="auto" w:fill="FFFFFF"/>
          <w:lang w:eastAsia="fr-FR"/>
        </w:rPr>
        <w:t>in</w:t>
      </w:r>
      <w:r w:rsidRPr="007B7CF0">
        <w:rPr>
          <w:rFonts w:ascii="Book Antiqua" w:eastAsia="Times New Roman" w:hAnsi="Book Antiqua" w:cs="Arial"/>
          <w:color w:val="333333"/>
          <w:szCs w:val="24"/>
          <w:shd w:val="clear" w:color="auto" w:fill="FFFFFF"/>
          <w:lang w:eastAsia="fr-FR"/>
        </w:rPr>
        <w:t xml:space="preserve"> 2012</w:t>
      </w:r>
      <w:r w:rsidR="0044178B">
        <w:rPr>
          <w:rFonts w:ascii="Book Antiqua" w:eastAsia="Times New Roman" w:hAnsi="Book Antiqua" w:cs="Arial"/>
          <w:color w:val="333333"/>
          <w:szCs w:val="24"/>
          <w:shd w:val="clear" w:color="auto" w:fill="FFFFFF"/>
          <w:lang w:eastAsia="fr-FR"/>
        </w:rPr>
        <w:t xml:space="preserve"> and</w:t>
      </w:r>
      <w:r w:rsidR="00653420">
        <w:rPr>
          <w:rFonts w:ascii="Book Antiqua" w:eastAsia="Times New Roman" w:hAnsi="Book Antiqua" w:cs="Arial"/>
          <w:color w:val="333333"/>
          <w:szCs w:val="24"/>
          <w:shd w:val="clear" w:color="auto" w:fill="FFFFFF"/>
          <w:lang w:eastAsia="fr-FR"/>
        </w:rPr>
        <w:t xml:space="preserve"> </w:t>
      </w:r>
      <w:r w:rsidRPr="007B7CF0">
        <w:rPr>
          <w:rFonts w:ascii="Book Antiqua" w:eastAsia="Times New Roman" w:hAnsi="Book Antiqua" w:cs="Arial"/>
          <w:color w:val="333333"/>
          <w:szCs w:val="24"/>
          <w:shd w:val="clear" w:color="auto" w:fill="FFFFFF"/>
          <w:lang w:eastAsia="fr-FR"/>
        </w:rPr>
        <w:t>2016</w:t>
      </w:r>
      <w:r w:rsidR="0044178B">
        <w:rPr>
          <w:rFonts w:ascii="Book Antiqua" w:eastAsia="Times New Roman" w:hAnsi="Book Antiqua" w:cs="Arial"/>
          <w:color w:val="333333"/>
          <w:szCs w:val="24"/>
          <w:shd w:val="clear" w:color="auto" w:fill="FFFFFF"/>
          <w:lang w:eastAsia="fr-FR"/>
        </w:rPr>
        <w:t>.</w:t>
      </w:r>
    </w:p>
    <w:p w14:paraId="4C812FA1" w14:textId="4D749DB2" w:rsidR="00F45113" w:rsidRPr="007B7CF0" w:rsidRDefault="00B721C8" w:rsidP="007B7CF0">
      <w:pPr>
        <w:pStyle w:val="NumParra"/>
        <w:jc w:val="both"/>
        <w:rPr>
          <w:rFonts w:ascii="Book Antiqua" w:hAnsi="Book Antiqua"/>
          <w:szCs w:val="24"/>
          <w:shd w:val="clear" w:color="auto" w:fill="FFFFFF"/>
          <w:lang w:eastAsia="fr-FR"/>
        </w:rPr>
      </w:pPr>
      <w:r w:rsidRPr="007B7CF0">
        <w:rPr>
          <w:rFonts w:ascii="Book Antiqua" w:hAnsi="Book Antiqua"/>
          <w:szCs w:val="24"/>
          <w:shd w:val="clear" w:color="auto" w:fill="FFFFFF"/>
          <w:lang w:eastAsia="fr-FR"/>
        </w:rPr>
        <w:t>Th</w:t>
      </w:r>
      <w:r w:rsidR="00F10E24">
        <w:rPr>
          <w:rFonts w:ascii="Book Antiqua" w:hAnsi="Book Antiqua"/>
          <w:szCs w:val="24"/>
          <w:shd w:val="clear" w:color="auto" w:fill="FFFFFF"/>
          <w:lang w:eastAsia="fr-FR"/>
        </w:rPr>
        <w:t xml:space="preserve">e Survey </w:t>
      </w:r>
      <w:r w:rsidR="003D64A0" w:rsidRPr="007B7CF0">
        <w:rPr>
          <w:rFonts w:ascii="Book Antiqua" w:hAnsi="Book Antiqua"/>
          <w:szCs w:val="24"/>
          <w:shd w:val="clear" w:color="auto" w:fill="FFFFFF"/>
          <w:lang w:eastAsia="fr-FR"/>
        </w:rPr>
        <w:t>includes information about experiences of:</w:t>
      </w:r>
    </w:p>
    <w:p w14:paraId="66532FD4" w14:textId="6D9983AB" w:rsidR="00F45113" w:rsidRPr="007B7CF0" w:rsidRDefault="00A719D4" w:rsidP="007B7CF0">
      <w:pPr>
        <w:pStyle w:val="NumParra"/>
        <w:numPr>
          <w:ilvl w:val="0"/>
          <w:numId w:val="10"/>
        </w:numPr>
        <w:jc w:val="both"/>
        <w:rPr>
          <w:rFonts w:ascii="Book Antiqua" w:hAnsi="Book Antiqua"/>
          <w:szCs w:val="24"/>
          <w:lang w:eastAsia="fr-FR"/>
        </w:rPr>
      </w:pPr>
      <w:r w:rsidRPr="007B7CF0">
        <w:rPr>
          <w:rFonts w:ascii="Book Antiqua" w:hAnsi="Book Antiqua"/>
          <w:szCs w:val="24"/>
          <w:lang w:eastAsia="fr-FR"/>
        </w:rPr>
        <w:t>c</w:t>
      </w:r>
      <w:r w:rsidR="003D64A0" w:rsidRPr="007B7CF0">
        <w:rPr>
          <w:rFonts w:ascii="Book Antiqua" w:hAnsi="Book Antiqua"/>
          <w:szCs w:val="24"/>
          <w:lang w:eastAsia="fr-FR"/>
        </w:rPr>
        <w:t xml:space="preserve">urrent and previous partner violence and emotional abuse since the age of </w:t>
      </w:r>
      <w:proofErr w:type="gramStart"/>
      <w:r w:rsidR="003D64A0" w:rsidRPr="007B7CF0">
        <w:rPr>
          <w:rFonts w:ascii="Book Antiqua" w:hAnsi="Book Antiqua"/>
          <w:szCs w:val="24"/>
          <w:lang w:eastAsia="fr-FR"/>
        </w:rPr>
        <w:t>15;</w:t>
      </w:r>
      <w:proofErr w:type="gramEnd"/>
    </w:p>
    <w:p w14:paraId="18B7C1F2" w14:textId="53B318BE" w:rsidR="00F45113" w:rsidRPr="007B7CF0" w:rsidRDefault="00A719D4" w:rsidP="007B7CF0">
      <w:pPr>
        <w:pStyle w:val="NumParra"/>
        <w:numPr>
          <w:ilvl w:val="0"/>
          <w:numId w:val="10"/>
        </w:numPr>
        <w:jc w:val="both"/>
        <w:rPr>
          <w:rFonts w:ascii="Book Antiqua" w:hAnsi="Book Antiqua"/>
          <w:szCs w:val="24"/>
          <w:lang w:eastAsia="fr-FR"/>
        </w:rPr>
      </w:pPr>
      <w:r w:rsidRPr="007B7CF0">
        <w:rPr>
          <w:rFonts w:ascii="Book Antiqua" w:eastAsia="Times New Roman" w:hAnsi="Book Antiqua" w:cs="Arial"/>
          <w:color w:val="333333"/>
          <w:szCs w:val="24"/>
          <w:lang w:eastAsia="fr-FR"/>
        </w:rPr>
        <w:t>e</w:t>
      </w:r>
      <w:r w:rsidR="003D64A0" w:rsidRPr="007B7CF0">
        <w:rPr>
          <w:rFonts w:ascii="Book Antiqua" w:eastAsia="Times New Roman" w:hAnsi="Book Antiqua" w:cs="Arial"/>
          <w:color w:val="333333"/>
          <w:szCs w:val="24"/>
          <w:lang w:eastAsia="fr-FR"/>
        </w:rPr>
        <w:t xml:space="preserve">xperiences of stalking since the age of </w:t>
      </w:r>
      <w:proofErr w:type="gramStart"/>
      <w:r w:rsidR="003D64A0" w:rsidRPr="007B7CF0">
        <w:rPr>
          <w:rFonts w:ascii="Book Antiqua" w:eastAsia="Times New Roman" w:hAnsi="Book Antiqua" w:cs="Arial"/>
          <w:color w:val="333333"/>
          <w:szCs w:val="24"/>
          <w:lang w:eastAsia="fr-FR"/>
        </w:rPr>
        <w:t>15;</w:t>
      </w:r>
      <w:proofErr w:type="gramEnd"/>
    </w:p>
    <w:p w14:paraId="23CFDD8F" w14:textId="72BE3CF2" w:rsidR="00F45113" w:rsidRPr="007B7CF0" w:rsidRDefault="00A719D4" w:rsidP="007B7CF0">
      <w:pPr>
        <w:pStyle w:val="NumParra"/>
        <w:numPr>
          <w:ilvl w:val="0"/>
          <w:numId w:val="10"/>
        </w:numPr>
        <w:jc w:val="both"/>
        <w:rPr>
          <w:rFonts w:ascii="Book Antiqua" w:eastAsia="Times New Roman" w:hAnsi="Book Antiqua" w:cs="Arial"/>
          <w:color w:val="333333"/>
          <w:szCs w:val="24"/>
          <w:lang w:eastAsia="fr-FR"/>
        </w:rPr>
      </w:pPr>
      <w:r w:rsidRPr="007B7CF0">
        <w:rPr>
          <w:rFonts w:ascii="Book Antiqua" w:eastAsia="Times New Roman" w:hAnsi="Book Antiqua" w:cs="Arial"/>
          <w:color w:val="333333"/>
          <w:szCs w:val="24"/>
          <w:lang w:eastAsia="fr-FR"/>
        </w:rPr>
        <w:t>p</w:t>
      </w:r>
      <w:r w:rsidR="003D64A0" w:rsidRPr="007B7CF0">
        <w:rPr>
          <w:rFonts w:ascii="Book Antiqua" w:eastAsia="Times New Roman" w:hAnsi="Book Antiqua" w:cs="Arial"/>
          <w:color w:val="333333"/>
          <w:szCs w:val="24"/>
          <w:lang w:eastAsia="fr-FR"/>
        </w:rPr>
        <w:t xml:space="preserve">hysical and sexual abuse before the age of </w:t>
      </w:r>
      <w:proofErr w:type="gramStart"/>
      <w:r w:rsidR="003D64A0" w:rsidRPr="007B7CF0">
        <w:rPr>
          <w:rFonts w:ascii="Book Antiqua" w:eastAsia="Times New Roman" w:hAnsi="Book Antiqua" w:cs="Arial"/>
          <w:color w:val="333333"/>
          <w:szCs w:val="24"/>
          <w:lang w:eastAsia="fr-FR"/>
        </w:rPr>
        <w:t>15;</w:t>
      </w:r>
      <w:proofErr w:type="gramEnd"/>
    </w:p>
    <w:p w14:paraId="654FD007" w14:textId="1A6778AF" w:rsidR="003D64A0" w:rsidRPr="007B7CF0" w:rsidRDefault="00A719D4" w:rsidP="007B7CF0">
      <w:pPr>
        <w:pStyle w:val="NumParra"/>
        <w:numPr>
          <w:ilvl w:val="0"/>
          <w:numId w:val="10"/>
        </w:numPr>
        <w:jc w:val="both"/>
        <w:rPr>
          <w:rFonts w:ascii="Book Antiqua" w:eastAsia="Times New Roman" w:hAnsi="Book Antiqua" w:cs="Arial"/>
          <w:color w:val="333333"/>
          <w:szCs w:val="24"/>
          <w:lang w:eastAsia="fr-FR"/>
        </w:rPr>
      </w:pPr>
      <w:r w:rsidRPr="007B7CF0">
        <w:rPr>
          <w:rFonts w:ascii="Book Antiqua" w:eastAsia="Times New Roman" w:hAnsi="Book Antiqua" w:cs="Arial"/>
          <w:color w:val="333333"/>
          <w:szCs w:val="24"/>
          <w:lang w:eastAsia="fr-FR"/>
        </w:rPr>
        <w:t>w</w:t>
      </w:r>
      <w:r w:rsidR="003D64A0" w:rsidRPr="007B7CF0">
        <w:rPr>
          <w:rFonts w:ascii="Book Antiqua" w:eastAsia="Times New Roman" w:hAnsi="Book Antiqua" w:cs="Arial"/>
          <w:color w:val="333333"/>
          <w:szCs w:val="24"/>
          <w:lang w:eastAsia="fr-FR"/>
        </w:rPr>
        <w:t xml:space="preserve">itnessing violence between a parent and partner before the age of </w:t>
      </w:r>
      <w:proofErr w:type="gramStart"/>
      <w:r w:rsidR="003D64A0" w:rsidRPr="007B7CF0">
        <w:rPr>
          <w:rFonts w:ascii="Book Antiqua" w:eastAsia="Times New Roman" w:hAnsi="Book Antiqua" w:cs="Arial"/>
          <w:color w:val="333333"/>
          <w:szCs w:val="24"/>
          <w:lang w:eastAsia="fr-FR"/>
        </w:rPr>
        <w:t>15;</w:t>
      </w:r>
      <w:proofErr w:type="gramEnd"/>
    </w:p>
    <w:p w14:paraId="41EC807F" w14:textId="68B7188D" w:rsidR="003D64A0" w:rsidRPr="007B7CF0" w:rsidRDefault="00A719D4" w:rsidP="007B7CF0">
      <w:pPr>
        <w:pStyle w:val="NumParra"/>
        <w:numPr>
          <w:ilvl w:val="0"/>
          <w:numId w:val="10"/>
        </w:numPr>
        <w:jc w:val="both"/>
        <w:rPr>
          <w:rFonts w:ascii="Book Antiqua" w:eastAsia="Times New Roman" w:hAnsi="Book Antiqua" w:cs="Arial"/>
          <w:color w:val="333333"/>
          <w:szCs w:val="24"/>
          <w:lang w:eastAsia="fr-FR"/>
        </w:rPr>
      </w:pPr>
      <w:r w:rsidRPr="007B7CF0">
        <w:rPr>
          <w:rFonts w:ascii="Book Antiqua" w:eastAsia="Times New Roman" w:hAnsi="Book Antiqua" w:cs="Arial"/>
          <w:color w:val="333333"/>
          <w:szCs w:val="24"/>
          <w:lang w:eastAsia="fr-FR"/>
        </w:rPr>
        <w:t>l</w:t>
      </w:r>
      <w:r w:rsidR="003D64A0" w:rsidRPr="007B7CF0">
        <w:rPr>
          <w:rFonts w:ascii="Book Antiqua" w:eastAsia="Times New Roman" w:hAnsi="Book Antiqua" w:cs="Arial"/>
          <w:color w:val="333333"/>
          <w:szCs w:val="24"/>
          <w:lang w:eastAsia="fr-FR"/>
        </w:rPr>
        <w:t>ifetime experience of sexual harassment; and</w:t>
      </w:r>
    </w:p>
    <w:p w14:paraId="1023B110" w14:textId="21E8EF52" w:rsidR="003D64A0" w:rsidRPr="007B7CF0" w:rsidRDefault="00A719D4" w:rsidP="007B7CF0">
      <w:pPr>
        <w:pStyle w:val="NumParra"/>
        <w:numPr>
          <w:ilvl w:val="0"/>
          <w:numId w:val="10"/>
        </w:numPr>
        <w:jc w:val="both"/>
        <w:rPr>
          <w:rFonts w:ascii="Book Antiqua" w:eastAsia="Times New Roman" w:hAnsi="Book Antiqua" w:cs="Arial"/>
          <w:color w:val="333333"/>
          <w:szCs w:val="24"/>
          <w:lang w:val="fr-FR" w:eastAsia="fr-FR"/>
        </w:rPr>
      </w:pPr>
      <w:proofErr w:type="spellStart"/>
      <w:proofErr w:type="gramStart"/>
      <w:r w:rsidRPr="007B7CF0">
        <w:rPr>
          <w:rFonts w:ascii="Book Antiqua" w:eastAsia="Times New Roman" w:hAnsi="Book Antiqua" w:cs="Arial"/>
          <w:color w:val="333333"/>
          <w:szCs w:val="24"/>
          <w:lang w:val="fr-FR" w:eastAsia="fr-FR"/>
        </w:rPr>
        <w:t>g</w:t>
      </w:r>
      <w:r w:rsidR="003D64A0" w:rsidRPr="007B7CF0">
        <w:rPr>
          <w:rFonts w:ascii="Book Antiqua" w:eastAsia="Times New Roman" w:hAnsi="Book Antiqua" w:cs="Arial"/>
          <w:color w:val="333333"/>
          <w:szCs w:val="24"/>
          <w:lang w:val="fr-FR" w:eastAsia="fr-FR"/>
        </w:rPr>
        <w:t>e</w:t>
      </w:r>
      <w:r w:rsidR="00F45113" w:rsidRPr="007B7CF0">
        <w:rPr>
          <w:rFonts w:ascii="Book Antiqua" w:eastAsia="Times New Roman" w:hAnsi="Book Antiqua" w:cs="Arial"/>
          <w:color w:val="333333"/>
          <w:szCs w:val="24"/>
          <w:lang w:val="fr-FR" w:eastAsia="fr-FR"/>
        </w:rPr>
        <w:t>n</w:t>
      </w:r>
      <w:r w:rsidR="003D64A0" w:rsidRPr="007B7CF0">
        <w:rPr>
          <w:rFonts w:ascii="Book Antiqua" w:eastAsia="Times New Roman" w:hAnsi="Book Antiqua" w:cs="Arial"/>
          <w:color w:val="333333"/>
          <w:szCs w:val="24"/>
          <w:lang w:val="fr-FR" w:eastAsia="fr-FR"/>
        </w:rPr>
        <w:t>eral</w:t>
      </w:r>
      <w:proofErr w:type="spellEnd"/>
      <w:proofErr w:type="gramEnd"/>
      <w:r w:rsidR="003D64A0" w:rsidRPr="007B7CF0">
        <w:rPr>
          <w:rFonts w:ascii="Book Antiqua" w:eastAsia="Times New Roman" w:hAnsi="Book Antiqua" w:cs="Arial"/>
          <w:color w:val="333333"/>
          <w:szCs w:val="24"/>
          <w:lang w:val="fr-FR" w:eastAsia="fr-FR"/>
        </w:rPr>
        <w:t xml:space="preserve"> feelings of </w:t>
      </w:r>
      <w:proofErr w:type="spellStart"/>
      <w:r w:rsidR="003D64A0" w:rsidRPr="007B7CF0">
        <w:rPr>
          <w:rFonts w:ascii="Book Antiqua" w:eastAsia="Times New Roman" w:hAnsi="Book Antiqua" w:cs="Arial"/>
          <w:color w:val="333333"/>
          <w:szCs w:val="24"/>
          <w:lang w:val="fr-FR" w:eastAsia="fr-FR"/>
        </w:rPr>
        <w:t>safety</w:t>
      </w:r>
      <w:proofErr w:type="spellEnd"/>
      <w:r w:rsidR="003D64A0" w:rsidRPr="007B7CF0">
        <w:rPr>
          <w:rFonts w:ascii="Book Antiqua" w:eastAsia="Times New Roman" w:hAnsi="Book Antiqua" w:cs="Arial"/>
          <w:color w:val="333333"/>
          <w:szCs w:val="24"/>
          <w:lang w:val="fr-FR" w:eastAsia="fr-FR"/>
        </w:rPr>
        <w:t>.</w:t>
      </w:r>
      <w:r w:rsidR="000548DE">
        <w:rPr>
          <w:rStyle w:val="FootnoteReference"/>
          <w:rFonts w:ascii="Book Antiqua" w:eastAsia="Times New Roman" w:hAnsi="Book Antiqua" w:cs="Arial"/>
          <w:color w:val="333333"/>
          <w:szCs w:val="24"/>
          <w:lang w:val="fr-FR" w:eastAsia="fr-FR"/>
        </w:rPr>
        <w:footnoteReference w:id="47"/>
      </w:r>
    </w:p>
    <w:p w14:paraId="4213F585" w14:textId="2A4AF3C8" w:rsidR="003D64A0" w:rsidRPr="006761C2" w:rsidRDefault="003D64A0" w:rsidP="007B7CF0">
      <w:pPr>
        <w:pStyle w:val="NumParra"/>
        <w:jc w:val="both"/>
        <w:rPr>
          <w:rFonts w:ascii="Book Antiqua" w:hAnsi="Book Antiqua"/>
          <w:szCs w:val="24"/>
        </w:rPr>
      </w:pPr>
      <w:r w:rsidRPr="006761C2">
        <w:rPr>
          <w:rFonts w:ascii="Book Antiqua" w:hAnsi="Book Antiqua"/>
          <w:szCs w:val="24"/>
        </w:rPr>
        <w:t xml:space="preserve">The 2016 </w:t>
      </w:r>
      <w:r w:rsidR="000B0B87" w:rsidRPr="006761C2">
        <w:rPr>
          <w:rFonts w:ascii="Book Antiqua" w:hAnsi="Book Antiqua"/>
          <w:szCs w:val="24"/>
        </w:rPr>
        <w:t>S</w:t>
      </w:r>
      <w:r w:rsidRPr="006761C2">
        <w:rPr>
          <w:rFonts w:ascii="Book Antiqua" w:hAnsi="Book Antiqua"/>
          <w:szCs w:val="24"/>
        </w:rPr>
        <w:t xml:space="preserve">urvey revealed that almost 2 million Australians (approximately 8%) had experienced at least </w:t>
      </w:r>
      <w:r w:rsidR="00743984" w:rsidRPr="006761C2">
        <w:rPr>
          <w:rFonts w:ascii="Book Antiqua" w:hAnsi="Book Antiqua"/>
          <w:szCs w:val="24"/>
        </w:rPr>
        <w:t>one</w:t>
      </w:r>
      <w:r w:rsidRPr="006761C2">
        <w:rPr>
          <w:rFonts w:ascii="Book Antiqua" w:hAnsi="Book Antiqua"/>
          <w:szCs w:val="24"/>
        </w:rPr>
        <w:t xml:space="preserve"> sexual assault since the age of 15.</w:t>
      </w:r>
      <w:r w:rsidR="00743984" w:rsidRPr="006761C2">
        <w:rPr>
          <w:rStyle w:val="FootnoteReference"/>
          <w:rFonts w:ascii="Book Antiqua" w:hAnsi="Book Antiqua"/>
          <w:szCs w:val="24"/>
        </w:rPr>
        <w:footnoteReference w:id="48"/>
      </w:r>
      <w:r w:rsidRPr="006761C2">
        <w:rPr>
          <w:rFonts w:ascii="Book Antiqua" w:hAnsi="Book Antiqua"/>
          <w:szCs w:val="24"/>
        </w:rPr>
        <w:t xml:space="preserve">  More than 200,000 (1.1%) of Australian adults had experienced at least one sexual assault in the 12 months before the survey, an increase of </w:t>
      </w:r>
      <w:r w:rsidR="008F4A15" w:rsidRPr="006761C2">
        <w:rPr>
          <w:rFonts w:ascii="Book Antiqua" w:hAnsi="Book Antiqua"/>
          <w:szCs w:val="24"/>
        </w:rPr>
        <w:t xml:space="preserve">just under 1% </w:t>
      </w:r>
      <w:r w:rsidRPr="006761C2">
        <w:rPr>
          <w:rFonts w:ascii="Book Antiqua" w:hAnsi="Book Antiqua"/>
          <w:szCs w:val="24"/>
        </w:rPr>
        <w:t>since the 2012 survey; around 639,000 Australian women experienced their most recent incident of sexual assault by a male in the last 10 years.</w:t>
      </w:r>
      <w:r w:rsidR="00DA3DC4" w:rsidRPr="006761C2">
        <w:rPr>
          <w:rStyle w:val="FootnoteReference"/>
          <w:rFonts w:ascii="Book Antiqua" w:hAnsi="Book Antiqua" w:cs="Arial"/>
          <w:szCs w:val="24"/>
        </w:rPr>
        <w:footnoteReference w:id="49"/>
      </w:r>
      <w:r w:rsidR="00DA3DC4" w:rsidRPr="006761C2">
        <w:rPr>
          <w:rFonts w:ascii="Book Antiqua" w:hAnsi="Book Antiqua"/>
          <w:szCs w:val="24"/>
        </w:rPr>
        <w:t xml:space="preserve">  Perhaps the most concerning statistic in the survey, however, </w:t>
      </w:r>
      <w:r w:rsidR="00743984" w:rsidRPr="006761C2">
        <w:rPr>
          <w:rFonts w:ascii="Book Antiqua" w:hAnsi="Book Antiqua"/>
          <w:szCs w:val="24"/>
        </w:rPr>
        <w:t>was</w:t>
      </w:r>
      <w:r w:rsidR="00DA3DC4" w:rsidRPr="006761C2">
        <w:rPr>
          <w:rFonts w:ascii="Book Antiqua" w:hAnsi="Book Antiqua"/>
          <w:szCs w:val="24"/>
        </w:rPr>
        <w:t xml:space="preserve"> that 9 out of 10 women did not contact police.  Although no</w:t>
      </w:r>
      <w:r w:rsidR="005804B6" w:rsidRPr="006761C2">
        <w:rPr>
          <w:rFonts w:ascii="Book Antiqua" w:hAnsi="Book Antiqua"/>
          <w:szCs w:val="24"/>
        </w:rPr>
        <w:t xml:space="preserve"> formal</w:t>
      </w:r>
      <w:r w:rsidR="00DA3DC4" w:rsidRPr="006761C2">
        <w:rPr>
          <w:rFonts w:ascii="Book Antiqua" w:hAnsi="Book Antiqua"/>
          <w:szCs w:val="24"/>
        </w:rPr>
        <w:t xml:space="preserve"> correlation has been undertaken</w:t>
      </w:r>
      <w:r w:rsidR="005804B6" w:rsidRPr="006761C2">
        <w:rPr>
          <w:rFonts w:ascii="Book Antiqua" w:hAnsi="Book Antiqua"/>
          <w:szCs w:val="24"/>
        </w:rPr>
        <w:t>,</w:t>
      </w:r>
      <w:r w:rsidR="00DA3DC4" w:rsidRPr="006761C2">
        <w:rPr>
          <w:rFonts w:ascii="Book Antiqua" w:hAnsi="Book Antiqua"/>
          <w:szCs w:val="24"/>
        </w:rPr>
        <w:t xml:space="preserve"> the </w:t>
      </w:r>
      <w:r w:rsidR="007B1DDC" w:rsidRPr="006761C2">
        <w:rPr>
          <w:rFonts w:ascii="Book Antiqua" w:hAnsi="Book Antiqua"/>
          <w:szCs w:val="24"/>
        </w:rPr>
        <w:lastRenderedPageBreak/>
        <w:t xml:space="preserve">BOCSAR </w:t>
      </w:r>
      <w:r w:rsidR="00DA3DC4" w:rsidRPr="006761C2">
        <w:rPr>
          <w:rFonts w:ascii="Book Antiqua" w:hAnsi="Book Antiqua"/>
          <w:szCs w:val="24"/>
        </w:rPr>
        <w:t>data which reveals that</w:t>
      </w:r>
      <w:r w:rsidR="005804B6" w:rsidRPr="006761C2">
        <w:rPr>
          <w:rFonts w:ascii="Book Antiqua" w:hAnsi="Book Antiqua"/>
          <w:szCs w:val="24"/>
        </w:rPr>
        <w:t xml:space="preserve"> </w:t>
      </w:r>
      <w:r w:rsidR="00DA3DC4" w:rsidRPr="006761C2">
        <w:rPr>
          <w:rFonts w:ascii="Book Antiqua" w:hAnsi="Book Antiqua"/>
          <w:szCs w:val="24"/>
        </w:rPr>
        <w:t>in NSW, in 20</w:t>
      </w:r>
      <w:r w:rsidR="006761C2" w:rsidRPr="006761C2">
        <w:rPr>
          <w:rFonts w:ascii="Book Antiqua" w:hAnsi="Book Antiqua"/>
          <w:szCs w:val="24"/>
        </w:rPr>
        <w:t>20</w:t>
      </w:r>
      <w:r w:rsidR="00DA3DC4" w:rsidRPr="006761C2">
        <w:rPr>
          <w:rFonts w:ascii="Book Antiqua" w:hAnsi="Book Antiqua"/>
          <w:szCs w:val="24"/>
        </w:rPr>
        <w:t>, only 4,</w:t>
      </w:r>
      <w:r w:rsidR="006761C2" w:rsidRPr="006761C2">
        <w:rPr>
          <w:rFonts w:ascii="Book Antiqua" w:hAnsi="Book Antiqua"/>
          <w:szCs w:val="24"/>
        </w:rPr>
        <w:t>191</w:t>
      </w:r>
      <w:r w:rsidR="00DA3DC4" w:rsidRPr="006761C2">
        <w:rPr>
          <w:rFonts w:ascii="Book Antiqua" w:hAnsi="Book Antiqua"/>
          <w:szCs w:val="24"/>
        </w:rPr>
        <w:t xml:space="preserve"> incidents were reported to the police</w:t>
      </w:r>
      <w:r w:rsidR="00D57C56">
        <w:rPr>
          <w:rFonts w:ascii="Book Antiqua" w:hAnsi="Book Antiqua"/>
          <w:szCs w:val="24"/>
        </w:rPr>
        <w:t>,</w:t>
      </w:r>
      <w:r w:rsidR="00DA3DC4" w:rsidRPr="006761C2">
        <w:rPr>
          <w:rFonts w:ascii="Book Antiqua" w:hAnsi="Book Antiqua"/>
          <w:szCs w:val="24"/>
        </w:rPr>
        <w:t xml:space="preserve"> </w:t>
      </w:r>
      <w:r w:rsidR="006B19F3" w:rsidRPr="006761C2">
        <w:rPr>
          <w:rFonts w:ascii="Book Antiqua" w:hAnsi="Book Antiqua"/>
          <w:szCs w:val="24"/>
        </w:rPr>
        <w:t xml:space="preserve">overall </w:t>
      </w:r>
      <w:r w:rsidR="00DA3DC4" w:rsidRPr="006761C2">
        <w:rPr>
          <w:rFonts w:ascii="Book Antiqua" w:hAnsi="Book Antiqua"/>
          <w:szCs w:val="24"/>
        </w:rPr>
        <w:t>support</w:t>
      </w:r>
      <w:r w:rsidR="006B19F3" w:rsidRPr="006761C2">
        <w:rPr>
          <w:rFonts w:ascii="Book Antiqua" w:hAnsi="Book Antiqua"/>
          <w:szCs w:val="24"/>
        </w:rPr>
        <w:t>s the survey results</w:t>
      </w:r>
      <w:r w:rsidR="00DA3DC4" w:rsidRPr="006761C2">
        <w:rPr>
          <w:rFonts w:ascii="Book Antiqua" w:hAnsi="Book Antiqua"/>
          <w:szCs w:val="24"/>
        </w:rPr>
        <w:t>.</w:t>
      </w:r>
      <w:r w:rsidR="00DA3DC4" w:rsidRPr="006761C2">
        <w:rPr>
          <w:rStyle w:val="FootnoteReference"/>
          <w:rFonts w:ascii="Book Antiqua" w:hAnsi="Book Antiqua" w:cs="Arial"/>
          <w:szCs w:val="24"/>
        </w:rPr>
        <w:footnoteReference w:id="50"/>
      </w:r>
      <w:r w:rsidR="00C25CB6" w:rsidRPr="006761C2">
        <w:rPr>
          <w:rFonts w:ascii="Book Antiqua" w:hAnsi="Book Antiqua"/>
          <w:szCs w:val="24"/>
        </w:rPr>
        <w:t xml:space="preserve"> </w:t>
      </w:r>
    </w:p>
    <w:p w14:paraId="12BECE1B" w14:textId="44CECC9E" w:rsidR="003D64A0" w:rsidRPr="007B7CF0" w:rsidRDefault="006B19F3" w:rsidP="007B7CF0">
      <w:pPr>
        <w:pStyle w:val="NumParra"/>
        <w:jc w:val="both"/>
        <w:rPr>
          <w:rFonts w:ascii="Book Antiqua" w:hAnsi="Book Antiqua" w:cs="Arial"/>
          <w:szCs w:val="24"/>
        </w:rPr>
      </w:pPr>
      <w:r w:rsidRPr="007B7CF0">
        <w:rPr>
          <w:rFonts w:ascii="Book Antiqua" w:hAnsi="Book Antiqua"/>
          <w:szCs w:val="24"/>
        </w:rPr>
        <w:t xml:space="preserve"> Neither the </w:t>
      </w:r>
      <w:r w:rsidR="0061261C" w:rsidRPr="007B7CF0">
        <w:rPr>
          <w:rFonts w:ascii="Book Antiqua" w:hAnsi="Book Antiqua"/>
          <w:szCs w:val="24"/>
        </w:rPr>
        <w:t xml:space="preserve">survey results nor the </w:t>
      </w:r>
      <w:r w:rsidR="007B1DDC">
        <w:rPr>
          <w:rFonts w:ascii="Book Antiqua" w:hAnsi="Book Antiqua"/>
          <w:szCs w:val="24"/>
        </w:rPr>
        <w:t>BOCSAR</w:t>
      </w:r>
      <w:r w:rsidR="007B1DDC" w:rsidRPr="007B7CF0">
        <w:rPr>
          <w:rFonts w:ascii="Book Antiqua" w:hAnsi="Book Antiqua"/>
          <w:szCs w:val="24"/>
        </w:rPr>
        <w:t xml:space="preserve"> </w:t>
      </w:r>
      <w:r w:rsidR="0061261C" w:rsidRPr="007B7CF0">
        <w:rPr>
          <w:rFonts w:ascii="Book Antiqua" w:hAnsi="Book Antiqua"/>
          <w:szCs w:val="24"/>
        </w:rPr>
        <w:t>data</w:t>
      </w:r>
      <w:r w:rsidR="00D220DE" w:rsidRPr="007B7CF0">
        <w:rPr>
          <w:rFonts w:ascii="Book Antiqua" w:hAnsi="Book Antiqua"/>
          <w:szCs w:val="24"/>
        </w:rPr>
        <w:t xml:space="preserve"> paint a picture of a physically and emotionally safe </w:t>
      </w:r>
      <w:r w:rsidR="003D64A0" w:rsidRPr="007B7CF0">
        <w:rPr>
          <w:rFonts w:ascii="Book Antiqua" w:hAnsi="Book Antiqua"/>
          <w:szCs w:val="24"/>
        </w:rPr>
        <w:t>community</w:t>
      </w:r>
      <w:r w:rsidR="00D220DE" w:rsidRPr="007B7CF0">
        <w:rPr>
          <w:rFonts w:ascii="Book Antiqua" w:hAnsi="Book Antiqua"/>
          <w:szCs w:val="24"/>
        </w:rPr>
        <w:t xml:space="preserve">.  </w:t>
      </w:r>
      <w:r w:rsidR="000247B7">
        <w:rPr>
          <w:rFonts w:ascii="Book Antiqua" w:hAnsi="Book Antiqua"/>
          <w:szCs w:val="24"/>
        </w:rPr>
        <w:t xml:space="preserve">It is against that background that </w:t>
      </w:r>
      <w:r w:rsidR="00026811" w:rsidRPr="007B7CF0">
        <w:rPr>
          <w:rFonts w:ascii="Book Antiqua" w:hAnsi="Book Antiqua" w:cs="Arial"/>
          <w:szCs w:val="24"/>
        </w:rPr>
        <w:t>the Attorney</w:t>
      </w:r>
      <w:r w:rsidR="00584318">
        <w:rPr>
          <w:rFonts w:ascii="Book Antiqua" w:hAnsi="Book Antiqua" w:cs="Arial"/>
          <w:szCs w:val="24"/>
        </w:rPr>
        <w:t xml:space="preserve"> </w:t>
      </w:r>
      <w:r w:rsidR="00026811" w:rsidRPr="007B7CF0">
        <w:rPr>
          <w:rFonts w:ascii="Book Antiqua" w:hAnsi="Book Antiqua" w:cs="Arial"/>
          <w:szCs w:val="24"/>
        </w:rPr>
        <w:t>General’s announcement of sweeping reforms to sexual consent laws, following upon the recommendations of the Law Reform Commission’s Report</w:t>
      </w:r>
      <w:r w:rsidR="005211FD">
        <w:rPr>
          <w:rFonts w:ascii="Book Antiqua" w:hAnsi="Book Antiqua" w:cs="Arial"/>
          <w:szCs w:val="24"/>
        </w:rPr>
        <w:t xml:space="preserve"> on consent</w:t>
      </w:r>
      <w:r w:rsidR="000247B7">
        <w:rPr>
          <w:rFonts w:ascii="Book Antiqua" w:hAnsi="Book Antiqua" w:cs="Arial"/>
          <w:szCs w:val="24"/>
        </w:rPr>
        <w:t>, is of particular importance</w:t>
      </w:r>
      <w:r w:rsidR="00026811" w:rsidRPr="007B7CF0">
        <w:rPr>
          <w:rFonts w:ascii="Book Antiqua" w:hAnsi="Book Antiqua" w:cs="Arial"/>
          <w:szCs w:val="24"/>
        </w:rPr>
        <w:t>.</w:t>
      </w:r>
      <w:r w:rsidR="00026811" w:rsidRPr="007B7CF0">
        <w:rPr>
          <w:rStyle w:val="FootnoteReference"/>
          <w:rFonts w:ascii="Book Antiqua" w:hAnsi="Book Antiqua" w:cs="Arial"/>
          <w:szCs w:val="24"/>
        </w:rPr>
        <w:footnoteReference w:id="51"/>
      </w:r>
      <w:r w:rsidR="00026811" w:rsidRPr="007B7CF0">
        <w:rPr>
          <w:rFonts w:ascii="Book Antiqua" w:hAnsi="Book Antiqua" w:cs="Arial"/>
          <w:szCs w:val="24"/>
        </w:rPr>
        <w:t xml:space="preserve">  The </w:t>
      </w:r>
      <w:r w:rsidR="00826521">
        <w:rPr>
          <w:rFonts w:ascii="Book Antiqua" w:hAnsi="Book Antiqua" w:cs="Arial"/>
          <w:szCs w:val="24"/>
        </w:rPr>
        <w:t>R</w:t>
      </w:r>
      <w:r w:rsidR="00026811" w:rsidRPr="007B7CF0">
        <w:rPr>
          <w:rFonts w:ascii="Book Antiqua" w:hAnsi="Book Antiqua" w:cs="Arial"/>
          <w:szCs w:val="24"/>
        </w:rPr>
        <w:t>eport recommends</w:t>
      </w:r>
      <w:r w:rsidR="00291DD8">
        <w:rPr>
          <w:rFonts w:ascii="Book Antiqua" w:hAnsi="Book Antiqua" w:cs="Arial"/>
          <w:szCs w:val="24"/>
        </w:rPr>
        <w:t xml:space="preserve"> the </w:t>
      </w:r>
      <w:r w:rsidR="00F62BB2">
        <w:rPr>
          <w:rFonts w:ascii="Book Antiqua" w:hAnsi="Book Antiqua" w:cs="Arial"/>
          <w:szCs w:val="24"/>
        </w:rPr>
        <w:t xml:space="preserve">adoption of the </w:t>
      </w:r>
      <w:r w:rsidR="00291DD8">
        <w:rPr>
          <w:rFonts w:ascii="Book Antiqua" w:hAnsi="Book Antiqua" w:cs="Arial"/>
          <w:szCs w:val="24"/>
        </w:rPr>
        <w:t>‘communicative model of consent’,</w:t>
      </w:r>
      <w:r w:rsidR="00026811" w:rsidRPr="007B7CF0">
        <w:rPr>
          <w:rFonts w:ascii="Book Antiqua" w:hAnsi="Book Antiqua" w:cs="Arial"/>
          <w:szCs w:val="24"/>
        </w:rPr>
        <w:t xml:space="preserve"> </w:t>
      </w:r>
      <w:r w:rsidR="00C3661B">
        <w:rPr>
          <w:rFonts w:ascii="Book Antiqua" w:hAnsi="Book Antiqua" w:cs="Arial"/>
          <w:szCs w:val="24"/>
        </w:rPr>
        <w:t>which</w:t>
      </w:r>
      <w:r w:rsidR="00026811" w:rsidRPr="007B7CF0">
        <w:rPr>
          <w:rFonts w:ascii="Book Antiqua" w:hAnsi="Book Antiqua" w:cs="Arial"/>
          <w:szCs w:val="24"/>
        </w:rPr>
        <w:t xml:space="preserve"> </w:t>
      </w:r>
      <w:r w:rsidR="00C3661B">
        <w:rPr>
          <w:rFonts w:ascii="Book Antiqua" w:hAnsi="Book Antiqua" w:cs="Arial"/>
          <w:szCs w:val="24"/>
        </w:rPr>
        <w:t xml:space="preserve">is described as </w:t>
      </w:r>
      <w:r w:rsidR="00026811" w:rsidRPr="007B7CF0">
        <w:rPr>
          <w:rFonts w:ascii="Book Antiqua" w:hAnsi="Book Antiqua" w:cs="Arial"/>
          <w:szCs w:val="24"/>
        </w:rPr>
        <w:t xml:space="preserve">comprising </w:t>
      </w:r>
      <w:r w:rsidR="00C3661B">
        <w:rPr>
          <w:rFonts w:ascii="Book Antiqua" w:hAnsi="Book Antiqua" w:cs="Arial"/>
          <w:szCs w:val="24"/>
        </w:rPr>
        <w:t>three</w:t>
      </w:r>
      <w:r w:rsidR="00026811" w:rsidRPr="007B7CF0">
        <w:rPr>
          <w:rFonts w:ascii="Book Antiqua" w:hAnsi="Book Antiqua" w:cs="Arial"/>
          <w:szCs w:val="24"/>
        </w:rPr>
        <w:t xml:space="preserve"> underlying principles: every person has a right to choose whether or not to participate in a sexual activity; consent is not to be presumed</w:t>
      </w:r>
      <w:r w:rsidR="001D4687">
        <w:rPr>
          <w:rFonts w:ascii="Book Antiqua" w:hAnsi="Book Antiqua" w:cs="Arial"/>
          <w:szCs w:val="24"/>
        </w:rPr>
        <w:t>;</w:t>
      </w:r>
      <w:r w:rsidR="00026811" w:rsidRPr="007B7CF0">
        <w:rPr>
          <w:rFonts w:ascii="Book Antiqua" w:hAnsi="Book Antiqua" w:cs="Arial"/>
          <w:szCs w:val="24"/>
        </w:rPr>
        <w:t xml:space="preserve"> and consensual sexual activity involves ongoing and mutual communication, decision making and free and voluntary agreement.</w:t>
      </w:r>
      <w:r w:rsidR="00026811" w:rsidRPr="007B7CF0">
        <w:rPr>
          <w:rStyle w:val="FootnoteReference"/>
          <w:rFonts w:ascii="Book Antiqua" w:hAnsi="Book Antiqua" w:cs="Arial"/>
          <w:szCs w:val="24"/>
        </w:rPr>
        <w:footnoteReference w:id="52"/>
      </w:r>
      <w:r w:rsidR="00026811" w:rsidRPr="007B7CF0">
        <w:rPr>
          <w:rFonts w:ascii="Book Antiqua" w:hAnsi="Book Antiqua" w:cs="Arial"/>
          <w:szCs w:val="24"/>
        </w:rPr>
        <w:t xml:space="preserve"> </w:t>
      </w:r>
    </w:p>
    <w:p w14:paraId="33225211" w14:textId="28369B97" w:rsidR="003D64A0" w:rsidRPr="007B7CF0" w:rsidRDefault="004D4C65" w:rsidP="007B7CF0">
      <w:pPr>
        <w:pStyle w:val="NumParra"/>
        <w:jc w:val="both"/>
        <w:rPr>
          <w:rFonts w:ascii="Book Antiqua" w:hAnsi="Book Antiqua" w:cs="Arial"/>
          <w:szCs w:val="24"/>
        </w:rPr>
      </w:pPr>
      <w:r>
        <w:rPr>
          <w:rFonts w:ascii="Book Antiqua" w:hAnsi="Book Antiqua" w:cs="Arial"/>
          <w:szCs w:val="24"/>
        </w:rPr>
        <w:t xml:space="preserve">The </w:t>
      </w:r>
      <w:r w:rsidR="005804B6">
        <w:rPr>
          <w:rFonts w:ascii="Book Antiqua" w:hAnsi="Book Antiqua" w:cs="Arial"/>
          <w:szCs w:val="24"/>
        </w:rPr>
        <w:t xml:space="preserve">Report’s </w:t>
      </w:r>
      <w:r>
        <w:rPr>
          <w:rFonts w:ascii="Book Antiqua" w:hAnsi="Book Antiqua" w:cs="Arial"/>
          <w:szCs w:val="24"/>
        </w:rPr>
        <w:t>recommendations include</w:t>
      </w:r>
      <w:r w:rsidR="009332F8">
        <w:rPr>
          <w:rFonts w:ascii="Book Antiqua" w:hAnsi="Book Antiqua" w:cs="Arial"/>
          <w:szCs w:val="24"/>
        </w:rPr>
        <w:t xml:space="preserve">: </w:t>
      </w:r>
      <w:r w:rsidR="003D64A0" w:rsidRPr="007B7CF0">
        <w:rPr>
          <w:rFonts w:ascii="Book Antiqua" w:hAnsi="Book Antiqua" w:cs="Arial"/>
          <w:szCs w:val="24"/>
        </w:rPr>
        <w:t xml:space="preserve"> that the absence of physical resistance is not, by reason only of that</w:t>
      </w:r>
      <w:r w:rsidR="004754B7">
        <w:rPr>
          <w:rFonts w:ascii="Book Antiqua" w:hAnsi="Book Antiqua" w:cs="Arial"/>
          <w:szCs w:val="24"/>
        </w:rPr>
        <w:t xml:space="preserve"> fact</w:t>
      </w:r>
      <w:r w:rsidR="003D64A0" w:rsidRPr="007B7CF0">
        <w:rPr>
          <w:rFonts w:ascii="Book Antiqua" w:hAnsi="Book Antiqua" w:cs="Arial"/>
          <w:szCs w:val="24"/>
        </w:rPr>
        <w:t>, to be taken as consent;</w:t>
      </w:r>
      <w:r w:rsidR="003D64A0" w:rsidRPr="007B7CF0">
        <w:rPr>
          <w:rStyle w:val="FootnoteReference"/>
          <w:rFonts w:ascii="Book Antiqua" w:hAnsi="Book Antiqua" w:cs="Arial"/>
          <w:szCs w:val="24"/>
        </w:rPr>
        <w:footnoteReference w:id="53"/>
      </w:r>
      <w:r w:rsidR="003D64A0" w:rsidRPr="007B7CF0">
        <w:rPr>
          <w:rFonts w:ascii="Book Antiqua" w:hAnsi="Book Antiqua" w:cs="Arial"/>
          <w:szCs w:val="24"/>
        </w:rPr>
        <w:t xml:space="preserve"> consent to one sexual activity should not be taken as consent to another form of sexual activity</w:t>
      </w:r>
      <w:r w:rsidR="00890F01" w:rsidRPr="007B7CF0">
        <w:rPr>
          <w:rFonts w:ascii="Book Antiqua" w:hAnsi="Book Antiqua" w:cs="Arial"/>
          <w:szCs w:val="24"/>
        </w:rPr>
        <w:t>;</w:t>
      </w:r>
      <w:r w:rsidR="003D64A0" w:rsidRPr="007B7CF0">
        <w:rPr>
          <w:rStyle w:val="FootnoteReference"/>
          <w:rFonts w:ascii="Book Antiqua" w:hAnsi="Book Antiqua" w:cs="Arial"/>
          <w:szCs w:val="24"/>
        </w:rPr>
        <w:footnoteReference w:id="54"/>
      </w:r>
      <w:r w:rsidR="00114138">
        <w:rPr>
          <w:rFonts w:ascii="Book Antiqua" w:hAnsi="Book Antiqua" w:cs="Arial"/>
          <w:szCs w:val="24"/>
        </w:rPr>
        <w:t xml:space="preserve"> and</w:t>
      </w:r>
      <w:r w:rsidR="003D64A0" w:rsidRPr="007B7CF0">
        <w:rPr>
          <w:rFonts w:ascii="Book Antiqua" w:hAnsi="Book Antiqua" w:cs="Arial"/>
          <w:szCs w:val="24"/>
        </w:rPr>
        <w:t xml:space="preserve"> </w:t>
      </w:r>
      <w:r w:rsidR="00890F01" w:rsidRPr="007B7CF0">
        <w:rPr>
          <w:rFonts w:ascii="Book Antiqua" w:hAnsi="Book Antiqua" w:cs="Arial"/>
          <w:szCs w:val="24"/>
        </w:rPr>
        <w:t>c</w:t>
      </w:r>
      <w:r w:rsidR="003D64A0" w:rsidRPr="007B7CF0">
        <w:rPr>
          <w:rFonts w:ascii="Book Antiqua" w:hAnsi="Book Antiqua" w:cs="Arial"/>
          <w:szCs w:val="24"/>
        </w:rPr>
        <w:t>onsent on one occasion is not to be taken as consent to another occasion</w:t>
      </w:r>
      <w:r w:rsidR="00AF629B" w:rsidRPr="007B7CF0">
        <w:rPr>
          <w:rFonts w:ascii="Book Antiqua" w:hAnsi="Book Antiqua" w:cs="Arial"/>
          <w:szCs w:val="24"/>
        </w:rPr>
        <w:t>.</w:t>
      </w:r>
      <w:r w:rsidR="003D64A0" w:rsidRPr="007B7CF0">
        <w:rPr>
          <w:rStyle w:val="FootnoteReference"/>
          <w:rFonts w:ascii="Book Antiqua" w:hAnsi="Book Antiqua" w:cs="Arial"/>
          <w:szCs w:val="24"/>
        </w:rPr>
        <w:footnoteReference w:id="55"/>
      </w:r>
      <w:r w:rsidR="003D64A0" w:rsidRPr="007B7CF0">
        <w:rPr>
          <w:rFonts w:ascii="Book Antiqua" w:hAnsi="Book Antiqua" w:cs="Arial"/>
          <w:szCs w:val="24"/>
        </w:rPr>
        <w:t xml:space="preserve"> </w:t>
      </w:r>
      <w:r w:rsidR="00890F01" w:rsidRPr="007B7CF0">
        <w:rPr>
          <w:rFonts w:ascii="Book Antiqua" w:hAnsi="Book Antiqua" w:cs="Arial"/>
          <w:szCs w:val="24"/>
        </w:rPr>
        <w:t xml:space="preserve"> </w:t>
      </w:r>
      <w:r w:rsidR="00443A94" w:rsidRPr="007B7CF0">
        <w:rPr>
          <w:rFonts w:ascii="Book Antiqua" w:hAnsi="Book Antiqua" w:cs="Arial"/>
          <w:szCs w:val="24"/>
        </w:rPr>
        <w:t>Other important recommendations</w:t>
      </w:r>
      <w:r w:rsidR="005804B6">
        <w:rPr>
          <w:rFonts w:ascii="Book Antiqua" w:hAnsi="Book Antiqua" w:cs="Arial"/>
          <w:szCs w:val="24"/>
        </w:rPr>
        <w:t xml:space="p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the person is too intoxicated to consent</w:t>
      </w:r>
      <w:r w:rsidR="00443A94" w:rsidRPr="007B7CF0">
        <w:rPr>
          <w:rStyle w:val="FootnoteReference"/>
          <w:rFonts w:ascii="Book Antiqua" w:hAnsi="Book Antiqua" w:cs="Arial"/>
          <w:szCs w:val="24"/>
        </w:rPr>
        <w:footnoteReference w:id="56"/>
      </w:r>
      <w:r w:rsidR="00443A94" w:rsidRPr="007B7CF0">
        <w:rPr>
          <w:rFonts w:ascii="Book Antiqua" w:hAnsi="Book Antiqua" w:cs="Arial"/>
          <w:szCs w:val="24"/>
        </w:rPr>
        <w:t xml:space="preserve"> or is overborne by abuse of a relationship of authority, trust or dependence.</w:t>
      </w:r>
      <w:r w:rsidR="00443A94" w:rsidRPr="007B7CF0">
        <w:rPr>
          <w:rStyle w:val="FootnoteReference"/>
          <w:rFonts w:ascii="Book Antiqua" w:hAnsi="Book Antiqua" w:cs="Arial"/>
          <w:szCs w:val="24"/>
        </w:rPr>
        <w:footnoteReference w:id="57"/>
      </w:r>
      <w:r w:rsidR="00443A94" w:rsidRPr="007B7CF0">
        <w:rPr>
          <w:rFonts w:ascii="Book Antiqua" w:hAnsi="Book Antiqua" w:cs="Arial"/>
          <w:szCs w:val="24"/>
        </w:rPr>
        <w:t xml:space="preserve">  </w:t>
      </w:r>
    </w:p>
    <w:p w14:paraId="5F7D26B5" w14:textId="3BBA53DB" w:rsidR="003D64A0" w:rsidRPr="007B7CF0" w:rsidRDefault="001C2B6A" w:rsidP="007B7CF0">
      <w:pPr>
        <w:pStyle w:val="NumParra"/>
        <w:jc w:val="both"/>
        <w:rPr>
          <w:rFonts w:ascii="Book Antiqua" w:hAnsi="Book Antiqua" w:cs="Arial"/>
          <w:szCs w:val="24"/>
        </w:rPr>
      </w:pPr>
      <w:r>
        <w:rPr>
          <w:rFonts w:ascii="Book Antiqua" w:hAnsi="Book Antiqua" w:cs="Arial"/>
          <w:szCs w:val="24"/>
        </w:rPr>
        <w:t>The Report also made r</w:t>
      </w:r>
      <w:r w:rsidR="003D64A0" w:rsidRPr="007B7CF0">
        <w:rPr>
          <w:rFonts w:ascii="Book Antiqua" w:hAnsi="Book Antiqua" w:cs="Arial"/>
          <w:szCs w:val="24"/>
        </w:rPr>
        <w:t xml:space="preserve">ecommendations </w:t>
      </w:r>
      <w:r w:rsidR="00A4238E">
        <w:rPr>
          <w:rFonts w:ascii="Book Antiqua" w:hAnsi="Book Antiqua" w:cs="Arial"/>
          <w:szCs w:val="24"/>
        </w:rPr>
        <w:t>as</w:t>
      </w:r>
      <w:r w:rsidR="003D64A0" w:rsidRPr="007B7CF0">
        <w:rPr>
          <w:rFonts w:ascii="Book Antiqua" w:hAnsi="Book Antiqua" w:cs="Arial"/>
          <w:szCs w:val="24"/>
        </w:rPr>
        <w:t xml:space="preserve"> to knowledge of consent</w:t>
      </w:r>
      <w:r w:rsidR="00A4238E">
        <w:rPr>
          <w:rFonts w:ascii="Book Antiqua" w:hAnsi="Book Antiqua" w:cs="Arial"/>
          <w:szCs w:val="24"/>
        </w:rPr>
        <w:t xml:space="preserve">, </w:t>
      </w:r>
      <w:r w:rsidR="00451015">
        <w:rPr>
          <w:rFonts w:ascii="Book Antiqua" w:hAnsi="Book Antiqua" w:cs="Arial"/>
          <w:szCs w:val="24"/>
        </w:rPr>
        <w:t xml:space="preserve">most notably recommendation </w:t>
      </w:r>
      <w:r w:rsidR="003D64A0" w:rsidRPr="007B7CF0">
        <w:rPr>
          <w:rFonts w:ascii="Book Antiqua" w:hAnsi="Book Antiqua" w:cs="Arial"/>
          <w:szCs w:val="24"/>
        </w:rPr>
        <w:t>7.3</w:t>
      </w:r>
      <w:r w:rsidR="00451015">
        <w:rPr>
          <w:rFonts w:ascii="Book Antiqua" w:hAnsi="Book Antiqua" w:cs="Arial"/>
          <w:szCs w:val="24"/>
        </w:rPr>
        <w:t>,</w:t>
      </w:r>
      <w:r w:rsidR="003D64A0" w:rsidRPr="007B7CF0">
        <w:rPr>
          <w:rFonts w:ascii="Book Antiqua" w:hAnsi="Book Antiqua" w:cs="Arial"/>
          <w:szCs w:val="24"/>
        </w:rPr>
        <w:t xml:space="preserve"> which provides: </w:t>
      </w:r>
    </w:p>
    <w:p w14:paraId="63642F02" w14:textId="64F0EB01" w:rsidR="00EB6414" w:rsidRDefault="00511C35" w:rsidP="00EB6414">
      <w:pPr>
        <w:pStyle w:val="NumParra"/>
        <w:numPr>
          <w:ilvl w:val="0"/>
          <w:numId w:val="25"/>
        </w:numPr>
        <w:spacing w:line="240" w:lineRule="auto"/>
        <w:jc w:val="both"/>
        <w:rPr>
          <w:rFonts w:ascii="Book Antiqua" w:hAnsi="Book Antiqua" w:cs="Arial"/>
          <w:szCs w:val="24"/>
        </w:rPr>
      </w:pPr>
      <w:proofErr w:type="gramStart"/>
      <w:r w:rsidRPr="007B7CF0">
        <w:rPr>
          <w:rFonts w:ascii="Book Antiqua" w:hAnsi="Book Antiqua" w:cs="Arial"/>
          <w:szCs w:val="24"/>
        </w:rPr>
        <w:t>‘</w:t>
      </w:r>
      <w:r w:rsidR="00126969">
        <w:rPr>
          <w:rFonts w:ascii="Book Antiqua" w:hAnsi="Book Antiqua" w:cs="Arial"/>
          <w:szCs w:val="24"/>
        </w:rPr>
        <w:t>”</w:t>
      </w:r>
      <w:r w:rsidR="003D64A0" w:rsidRPr="007B7CF0">
        <w:rPr>
          <w:rFonts w:ascii="Book Antiqua" w:hAnsi="Book Antiqua" w:cs="Arial"/>
          <w:szCs w:val="24"/>
        </w:rPr>
        <w:t>Actual</w:t>
      </w:r>
      <w:proofErr w:type="gramEnd"/>
      <w:r w:rsidR="003D64A0" w:rsidRPr="007B7CF0">
        <w:rPr>
          <w:rFonts w:ascii="Book Antiqua" w:hAnsi="Book Antiqua" w:cs="Arial"/>
          <w:szCs w:val="24"/>
        </w:rPr>
        <w:t xml:space="preserve"> knowledge</w:t>
      </w:r>
      <w:r w:rsidR="00126969">
        <w:rPr>
          <w:rFonts w:ascii="Book Antiqua" w:hAnsi="Book Antiqua" w:cs="Arial"/>
          <w:szCs w:val="24"/>
        </w:rPr>
        <w:t>”</w:t>
      </w:r>
      <w:r w:rsidR="003D64A0" w:rsidRPr="007B7CF0">
        <w:rPr>
          <w:rFonts w:ascii="Book Antiqua" w:hAnsi="Book Antiqua" w:cs="Arial"/>
          <w:szCs w:val="24"/>
        </w:rPr>
        <w:t xml:space="preserve"> and </w:t>
      </w:r>
      <w:r w:rsidR="00126969">
        <w:rPr>
          <w:rFonts w:ascii="Book Antiqua" w:hAnsi="Book Antiqua" w:cs="Arial"/>
          <w:szCs w:val="24"/>
        </w:rPr>
        <w:t>“</w:t>
      </w:r>
      <w:r w:rsidR="003D64A0" w:rsidRPr="007B7CF0">
        <w:rPr>
          <w:rFonts w:ascii="Book Antiqua" w:hAnsi="Book Antiqua" w:cs="Arial"/>
          <w:szCs w:val="24"/>
        </w:rPr>
        <w:t>recklessness</w:t>
      </w:r>
      <w:r w:rsidR="00126969">
        <w:rPr>
          <w:rFonts w:ascii="Book Antiqua" w:hAnsi="Book Antiqua" w:cs="Arial"/>
          <w:szCs w:val="24"/>
        </w:rPr>
        <w:t>”</w:t>
      </w:r>
      <w:r w:rsidR="003D64A0" w:rsidRPr="007B7CF0">
        <w:rPr>
          <w:rFonts w:ascii="Book Antiqua" w:hAnsi="Book Antiqua" w:cs="Arial"/>
          <w:szCs w:val="24"/>
        </w:rPr>
        <w:t xml:space="preserve"> should remain part of the mental element of knowledge of non-consent.</w:t>
      </w:r>
    </w:p>
    <w:p w14:paraId="22054BA6" w14:textId="77777777" w:rsidR="00FE186D" w:rsidRDefault="003D64A0" w:rsidP="00EB6414">
      <w:pPr>
        <w:pStyle w:val="NumParra"/>
        <w:numPr>
          <w:ilvl w:val="0"/>
          <w:numId w:val="25"/>
        </w:numPr>
        <w:spacing w:line="240" w:lineRule="auto"/>
        <w:jc w:val="both"/>
        <w:rPr>
          <w:rFonts w:ascii="Book Antiqua" w:hAnsi="Book Antiqua" w:cs="Arial"/>
          <w:szCs w:val="24"/>
        </w:rPr>
      </w:pPr>
      <w:r w:rsidRPr="007B7CF0">
        <w:rPr>
          <w:rFonts w:ascii="Book Antiqua" w:hAnsi="Book Antiqua" w:cs="Arial"/>
          <w:szCs w:val="24"/>
        </w:rPr>
        <w:lastRenderedPageBreak/>
        <w:t xml:space="preserve">The reference to </w:t>
      </w:r>
      <w:r w:rsidR="00126969">
        <w:rPr>
          <w:rFonts w:ascii="Book Antiqua" w:hAnsi="Book Antiqua" w:cs="Arial"/>
          <w:szCs w:val="24"/>
        </w:rPr>
        <w:t>“</w:t>
      </w:r>
      <w:r w:rsidRPr="007B7CF0">
        <w:rPr>
          <w:rFonts w:ascii="Book Antiqua" w:hAnsi="Book Antiqua" w:cs="Arial"/>
          <w:szCs w:val="24"/>
        </w:rPr>
        <w:t>knows</w:t>
      </w:r>
      <w:r w:rsidR="00126969">
        <w:rPr>
          <w:rFonts w:ascii="Book Antiqua" w:hAnsi="Book Antiqua" w:cs="Arial"/>
          <w:szCs w:val="24"/>
        </w:rPr>
        <w:t>”</w:t>
      </w:r>
      <w:r w:rsidRPr="007B7CF0">
        <w:rPr>
          <w:rFonts w:ascii="Book Antiqua" w:hAnsi="Book Antiqua" w:cs="Arial"/>
          <w:szCs w:val="24"/>
        </w:rPr>
        <w:t xml:space="preserve"> in s 61HE(3)(a) should be replaced with </w:t>
      </w:r>
      <w:r w:rsidR="00126969">
        <w:rPr>
          <w:rFonts w:ascii="Book Antiqua" w:hAnsi="Book Antiqua" w:cs="Arial"/>
          <w:szCs w:val="24"/>
        </w:rPr>
        <w:t>“</w:t>
      </w:r>
      <w:r w:rsidRPr="007B7CF0">
        <w:rPr>
          <w:rFonts w:ascii="Book Antiqua" w:hAnsi="Book Antiqua" w:cs="Arial"/>
          <w:szCs w:val="24"/>
        </w:rPr>
        <w:t>actually knows</w:t>
      </w:r>
      <w:r w:rsidR="00126969">
        <w:rPr>
          <w:rFonts w:ascii="Book Antiqua" w:hAnsi="Book Antiqua" w:cs="Arial"/>
          <w:szCs w:val="24"/>
        </w:rPr>
        <w:t>”</w:t>
      </w:r>
      <w:r w:rsidR="00FE186D">
        <w:rPr>
          <w:rFonts w:ascii="Book Antiqua" w:hAnsi="Book Antiqua" w:cs="Arial"/>
          <w:szCs w:val="24"/>
        </w:rPr>
        <w:t>.</w:t>
      </w:r>
      <w:r w:rsidRPr="007B7CF0">
        <w:rPr>
          <w:rFonts w:ascii="Book Antiqua" w:hAnsi="Book Antiqua" w:cs="Arial"/>
          <w:szCs w:val="24"/>
        </w:rPr>
        <w:t xml:space="preserve"> </w:t>
      </w:r>
    </w:p>
    <w:p w14:paraId="6B793876" w14:textId="77777777" w:rsidR="00FE186D" w:rsidRDefault="00FE186D" w:rsidP="00EB6414">
      <w:pPr>
        <w:pStyle w:val="NumParra"/>
        <w:numPr>
          <w:ilvl w:val="0"/>
          <w:numId w:val="25"/>
        </w:numPr>
        <w:spacing w:line="240" w:lineRule="auto"/>
        <w:jc w:val="both"/>
        <w:rPr>
          <w:rFonts w:ascii="Book Antiqua" w:hAnsi="Book Antiqua" w:cs="Arial"/>
          <w:szCs w:val="24"/>
        </w:rPr>
      </w:pPr>
      <w:r>
        <w:rPr>
          <w:rFonts w:ascii="Book Antiqua" w:hAnsi="Book Antiqua" w:cs="Arial"/>
          <w:szCs w:val="24"/>
        </w:rPr>
        <w:t>“</w:t>
      </w:r>
      <w:r w:rsidR="003D64A0" w:rsidRPr="007B7CF0">
        <w:rPr>
          <w:rFonts w:ascii="Book Antiqua" w:hAnsi="Book Antiqua" w:cs="Arial"/>
          <w:szCs w:val="24"/>
        </w:rPr>
        <w:t>Recklessness</w:t>
      </w:r>
      <w:r>
        <w:rPr>
          <w:rFonts w:ascii="Book Antiqua" w:hAnsi="Book Antiqua" w:cs="Arial"/>
          <w:szCs w:val="24"/>
        </w:rPr>
        <w:t>”</w:t>
      </w:r>
      <w:r w:rsidR="003D64A0" w:rsidRPr="007B7CF0">
        <w:rPr>
          <w:rFonts w:ascii="Book Antiqua" w:hAnsi="Book Antiqua" w:cs="Arial"/>
          <w:szCs w:val="24"/>
        </w:rPr>
        <w:t xml:space="preserve"> should not be defined in the legislation. </w:t>
      </w:r>
    </w:p>
    <w:p w14:paraId="5F42CEDC" w14:textId="66C6E5AC" w:rsidR="003D64A0" w:rsidRPr="007B7CF0" w:rsidRDefault="003D64A0" w:rsidP="00483CBB">
      <w:pPr>
        <w:pStyle w:val="NumParra"/>
        <w:numPr>
          <w:ilvl w:val="0"/>
          <w:numId w:val="25"/>
        </w:numPr>
        <w:jc w:val="both"/>
        <w:rPr>
          <w:rFonts w:ascii="Book Antiqua" w:hAnsi="Book Antiqua" w:cs="Arial"/>
          <w:szCs w:val="24"/>
        </w:rPr>
      </w:pPr>
      <w:r w:rsidRPr="007B7CF0">
        <w:rPr>
          <w:rFonts w:ascii="Book Antiqua" w:hAnsi="Book Antiqua" w:cs="Arial"/>
          <w:szCs w:val="24"/>
        </w:rPr>
        <w:t xml:space="preserve">A test of </w:t>
      </w:r>
      <w:r w:rsidR="00FE186D">
        <w:rPr>
          <w:rFonts w:ascii="Book Antiqua" w:hAnsi="Book Antiqua" w:cs="Arial"/>
          <w:szCs w:val="24"/>
        </w:rPr>
        <w:t>“</w:t>
      </w:r>
      <w:r w:rsidRPr="007B7CF0">
        <w:rPr>
          <w:rFonts w:ascii="Book Antiqua" w:hAnsi="Book Antiqua" w:cs="Arial"/>
          <w:szCs w:val="24"/>
        </w:rPr>
        <w:t>indifferenc</w:t>
      </w:r>
      <w:r w:rsidR="00FE186D">
        <w:rPr>
          <w:rFonts w:ascii="Book Antiqua" w:hAnsi="Book Antiqua" w:cs="Arial"/>
          <w:szCs w:val="24"/>
        </w:rPr>
        <w:t>e”</w:t>
      </w:r>
      <w:r w:rsidRPr="007B7CF0">
        <w:rPr>
          <w:rFonts w:ascii="Book Antiqua" w:hAnsi="Book Antiqua" w:cs="Arial"/>
          <w:szCs w:val="24"/>
        </w:rPr>
        <w:t xml:space="preserve"> should not replace </w:t>
      </w:r>
      <w:r w:rsidR="00FE186D">
        <w:rPr>
          <w:rFonts w:ascii="Book Antiqua" w:hAnsi="Book Antiqua" w:cs="Arial"/>
          <w:szCs w:val="24"/>
        </w:rPr>
        <w:t>“</w:t>
      </w:r>
      <w:r w:rsidRPr="007B7CF0">
        <w:rPr>
          <w:rFonts w:ascii="Book Antiqua" w:hAnsi="Book Antiqua" w:cs="Arial"/>
          <w:szCs w:val="24"/>
        </w:rPr>
        <w:t>recklessness</w:t>
      </w:r>
      <w:r w:rsidR="00FE186D">
        <w:rPr>
          <w:rFonts w:ascii="Book Antiqua" w:hAnsi="Book Antiqua" w:cs="Arial"/>
          <w:szCs w:val="24"/>
        </w:rPr>
        <w:t>”’</w:t>
      </w:r>
      <w:r w:rsidRPr="007B7CF0">
        <w:rPr>
          <w:rFonts w:ascii="Book Antiqua" w:hAnsi="Book Antiqua" w:cs="Arial"/>
          <w:szCs w:val="24"/>
        </w:rPr>
        <w:t>.</w:t>
      </w:r>
      <w:r w:rsidR="00296008" w:rsidRPr="007B7CF0">
        <w:rPr>
          <w:rStyle w:val="FootnoteReference"/>
          <w:rFonts w:ascii="Book Antiqua" w:hAnsi="Book Antiqua" w:cs="Arial"/>
          <w:szCs w:val="24"/>
        </w:rPr>
        <w:footnoteReference w:id="58"/>
      </w:r>
    </w:p>
    <w:p w14:paraId="2106B759" w14:textId="04D2C0C9" w:rsidR="003D64A0" w:rsidRPr="007B7CF0" w:rsidRDefault="0034583A" w:rsidP="007B7CF0">
      <w:pPr>
        <w:pStyle w:val="NumParra"/>
        <w:jc w:val="both"/>
        <w:rPr>
          <w:rFonts w:ascii="Book Antiqua" w:hAnsi="Book Antiqua" w:cs="Arial"/>
          <w:szCs w:val="24"/>
        </w:rPr>
      </w:pPr>
      <w:r>
        <w:rPr>
          <w:rFonts w:ascii="Book Antiqua" w:hAnsi="Book Antiqua" w:cs="Arial"/>
          <w:szCs w:val="24"/>
        </w:rPr>
        <w:t>These recommendations are</w:t>
      </w:r>
      <w:r w:rsidR="003D64A0" w:rsidRPr="007B7CF0">
        <w:rPr>
          <w:rFonts w:ascii="Book Antiqua" w:hAnsi="Book Antiqua" w:cs="Arial"/>
          <w:szCs w:val="24"/>
        </w:rPr>
        <w:t xml:space="preserve"> </w:t>
      </w:r>
      <w:r w:rsidR="00443A94" w:rsidRPr="007B7CF0">
        <w:rPr>
          <w:rFonts w:ascii="Book Antiqua" w:hAnsi="Book Antiqua" w:cs="Arial"/>
          <w:szCs w:val="24"/>
        </w:rPr>
        <w:t>a</w:t>
      </w:r>
      <w:r w:rsidR="003D64A0" w:rsidRPr="007B7CF0">
        <w:rPr>
          <w:rFonts w:ascii="Book Antiqua" w:hAnsi="Book Antiqua" w:cs="Arial"/>
          <w:szCs w:val="24"/>
        </w:rPr>
        <w:t xml:space="preserve"> response to the </w:t>
      </w:r>
      <w:r w:rsidR="003D64A0" w:rsidRPr="007B7CF0">
        <w:rPr>
          <w:rFonts w:ascii="Book Antiqua" w:hAnsi="Book Antiqua" w:cs="Arial"/>
          <w:i/>
          <w:iCs/>
          <w:szCs w:val="24"/>
        </w:rPr>
        <w:t xml:space="preserve">Lazarus </w:t>
      </w:r>
      <w:r w:rsidR="003D64A0" w:rsidRPr="007B7CF0">
        <w:rPr>
          <w:rFonts w:ascii="Book Antiqua" w:hAnsi="Book Antiqua" w:cs="Arial"/>
          <w:szCs w:val="24"/>
        </w:rPr>
        <w:t>decision</w:t>
      </w:r>
      <w:r w:rsidR="00AF629B" w:rsidRPr="007B7CF0">
        <w:rPr>
          <w:rFonts w:ascii="Book Antiqua" w:hAnsi="Book Antiqua" w:cs="Arial"/>
          <w:szCs w:val="24"/>
        </w:rPr>
        <w:t xml:space="preserve">, which turned on whether the accused had </w:t>
      </w:r>
      <w:r w:rsidR="00F31ABA" w:rsidRPr="007B7CF0">
        <w:rPr>
          <w:rFonts w:ascii="Book Antiqua" w:hAnsi="Book Antiqua" w:cs="Arial"/>
          <w:szCs w:val="24"/>
        </w:rPr>
        <w:t>knowledge of consent</w:t>
      </w:r>
      <w:r w:rsidR="00446321">
        <w:rPr>
          <w:rFonts w:ascii="Book Antiqua" w:hAnsi="Book Antiqua" w:cs="Arial"/>
          <w:szCs w:val="24"/>
        </w:rPr>
        <w:t xml:space="preserve">, whether the accused had </w:t>
      </w:r>
      <w:r w:rsidR="00F31ABA" w:rsidRPr="007B7CF0">
        <w:rPr>
          <w:rFonts w:ascii="Book Antiqua" w:hAnsi="Book Antiqua" w:cs="Arial"/>
          <w:szCs w:val="24"/>
        </w:rPr>
        <w:t xml:space="preserve">actual knowledge of lack of consent, </w:t>
      </w:r>
      <w:r w:rsidR="00F337E7">
        <w:rPr>
          <w:rFonts w:ascii="Book Antiqua" w:hAnsi="Book Antiqua" w:cs="Arial"/>
          <w:szCs w:val="24"/>
        </w:rPr>
        <w:t>or was</w:t>
      </w:r>
      <w:r w:rsidR="00832957">
        <w:rPr>
          <w:rFonts w:ascii="Book Antiqua" w:hAnsi="Book Antiqua" w:cs="Arial"/>
          <w:szCs w:val="24"/>
        </w:rPr>
        <w:t xml:space="preserve"> </w:t>
      </w:r>
      <w:r w:rsidR="00F31ABA" w:rsidRPr="007B7CF0">
        <w:rPr>
          <w:rFonts w:ascii="Book Antiqua" w:hAnsi="Book Antiqua" w:cs="Arial"/>
          <w:szCs w:val="24"/>
        </w:rPr>
        <w:t>reckless</w:t>
      </w:r>
      <w:r w:rsidR="005804B6">
        <w:rPr>
          <w:rFonts w:ascii="Book Antiqua" w:hAnsi="Book Antiqua" w:cs="Arial"/>
          <w:szCs w:val="24"/>
        </w:rPr>
        <w:t xml:space="preserve"> </w:t>
      </w:r>
      <w:r w:rsidR="00F31ABA" w:rsidRPr="007B7CF0">
        <w:rPr>
          <w:rFonts w:ascii="Book Antiqua" w:hAnsi="Book Antiqua" w:cs="Arial"/>
          <w:szCs w:val="24"/>
        </w:rPr>
        <w:t xml:space="preserve">or </w:t>
      </w:r>
      <w:r w:rsidR="00F337E7" w:rsidRPr="007B7CF0">
        <w:rPr>
          <w:rFonts w:ascii="Book Antiqua" w:hAnsi="Book Antiqua" w:cs="Arial"/>
          <w:szCs w:val="24"/>
        </w:rPr>
        <w:t>ha</w:t>
      </w:r>
      <w:r w:rsidR="00F337E7">
        <w:rPr>
          <w:rFonts w:ascii="Book Antiqua" w:hAnsi="Book Antiqua" w:cs="Arial"/>
          <w:szCs w:val="24"/>
        </w:rPr>
        <w:t>d</w:t>
      </w:r>
      <w:r w:rsidR="00F337E7" w:rsidRPr="007B7CF0">
        <w:rPr>
          <w:rFonts w:ascii="Book Antiqua" w:hAnsi="Book Antiqua" w:cs="Arial"/>
          <w:szCs w:val="24"/>
        </w:rPr>
        <w:t xml:space="preserve"> </w:t>
      </w:r>
      <w:r w:rsidR="00F31ABA" w:rsidRPr="007B7CF0">
        <w:rPr>
          <w:rFonts w:ascii="Book Antiqua" w:hAnsi="Book Antiqua" w:cs="Arial"/>
          <w:szCs w:val="24"/>
        </w:rPr>
        <w:t>‘no reasonable grounds’ for believing there was consent.</w:t>
      </w:r>
      <w:r w:rsidR="00AB1D01">
        <w:rPr>
          <w:rFonts w:ascii="Book Antiqua" w:hAnsi="Book Antiqua" w:cs="Arial"/>
          <w:szCs w:val="24"/>
        </w:rPr>
        <w:t xml:space="preserve"> </w:t>
      </w:r>
      <w:r w:rsidR="00F31ABA" w:rsidRPr="007B7CF0">
        <w:rPr>
          <w:rFonts w:ascii="Book Antiqua" w:hAnsi="Book Antiqua" w:cs="Arial"/>
          <w:szCs w:val="24"/>
        </w:rPr>
        <w:t xml:space="preserve"> The accused was acquitted on the basis that he had reasonable grounds for believing there was consent, as the complainant had not asked the accused to stop and </w:t>
      </w:r>
      <w:r w:rsidR="007A07E7">
        <w:rPr>
          <w:rFonts w:ascii="Book Antiqua" w:hAnsi="Book Antiqua" w:cs="Arial"/>
          <w:szCs w:val="24"/>
        </w:rPr>
        <w:t>‘</w:t>
      </w:r>
      <w:r w:rsidR="00F31ABA" w:rsidRPr="007B7CF0">
        <w:rPr>
          <w:rFonts w:ascii="Book Antiqua" w:hAnsi="Book Antiqua" w:cs="Arial"/>
          <w:szCs w:val="24"/>
        </w:rPr>
        <w:t>did not take any physical action to move away</w:t>
      </w:r>
      <w:r w:rsidR="007A07E7">
        <w:rPr>
          <w:rFonts w:ascii="Book Antiqua" w:hAnsi="Book Antiqua" w:cs="Arial"/>
          <w:szCs w:val="24"/>
        </w:rPr>
        <w:t>’</w:t>
      </w:r>
      <w:r w:rsidR="00F31ABA" w:rsidRPr="007B7CF0">
        <w:rPr>
          <w:rFonts w:ascii="Book Antiqua" w:hAnsi="Book Antiqua" w:cs="Arial"/>
          <w:szCs w:val="24"/>
        </w:rPr>
        <w:t xml:space="preserve">, even though in her own mind she was </w:t>
      </w:r>
      <w:r w:rsidR="00B33D63" w:rsidRPr="007B7CF0">
        <w:rPr>
          <w:rFonts w:ascii="Book Antiqua" w:hAnsi="Book Antiqua" w:cs="Arial"/>
          <w:szCs w:val="24"/>
        </w:rPr>
        <w:t xml:space="preserve">clear that she was </w:t>
      </w:r>
      <w:r w:rsidR="00F31ABA" w:rsidRPr="007B7CF0">
        <w:rPr>
          <w:rFonts w:ascii="Book Antiqua" w:hAnsi="Book Antiqua" w:cs="Arial"/>
          <w:szCs w:val="24"/>
        </w:rPr>
        <w:t>not consenting.</w:t>
      </w:r>
      <w:r w:rsidR="00296008" w:rsidRPr="007B7CF0">
        <w:rPr>
          <w:rStyle w:val="FootnoteReference"/>
          <w:rFonts w:ascii="Book Antiqua" w:hAnsi="Book Antiqua" w:cs="Arial"/>
          <w:szCs w:val="24"/>
        </w:rPr>
        <w:footnoteReference w:id="59"/>
      </w:r>
      <w:r w:rsidR="00F31ABA" w:rsidRPr="007B7CF0">
        <w:rPr>
          <w:rFonts w:ascii="Book Antiqua" w:hAnsi="Book Antiqua" w:cs="Arial"/>
          <w:szCs w:val="24"/>
        </w:rPr>
        <w:t xml:space="preserve"> </w:t>
      </w:r>
    </w:p>
    <w:p w14:paraId="19B49A9D" w14:textId="5942635B" w:rsidR="003D64A0" w:rsidRPr="007B7CF0" w:rsidRDefault="003D64A0" w:rsidP="007B7CF0">
      <w:pPr>
        <w:pStyle w:val="NumParra"/>
        <w:jc w:val="both"/>
        <w:rPr>
          <w:rFonts w:ascii="Book Antiqua" w:hAnsi="Book Antiqua" w:cs="Arial"/>
          <w:szCs w:val="24"/>
        </w:rPr>
      </w:pPr>
      <w:r w:rsidRPr="007B7CF0">
        <w:rPr>
          <w:rFonts w:ascii="Book Antiqua" w:hAnsi="Book Antiqua" w:cs="Arial"/>
          <w:szCs w:val="24"/>
        </w:rPr>
        <w:t xml:space="preserve">Another </w:t>
      </w:r>
      <w:r w:rsidR="00F337E7">
        <w:rPr>
          <w:rFonts w:ascii="Book Antiqua" w:hAnsi="Book Antiqua" w:cs="Arial"/>
          <w:szCs w:val="24"/>
        </w:rPr>
        <w:t>important</w:t>
      </w:r>
      <w:r w:rsidR="00F337E7" w:rsidRPr="007B7CF0">
        <w:rPr>
          <w:rFonts w:ascii="Book Antiqua" w:hAnsi="Book Antiqua" w:cs="Arial"/>
          <w:szCs w:val="24"/>
        </w:rPr>
        <w:t xml:space="preserve"> </w:t>
      </w:r>
      <w:r w:rsidRPr="007B7CF0">
        <w:rPr>
          <w:rFonts w:ascii="Book Antiqua" w:hAnsi="Book Antiqua" w:cs="Arial"/>
          <w:szCs w:val="24"/>
        </w:rPr>
        <w:t>recommendation is that new jury directions should be introduced to address misconceptions about consensual and non-consensual activity</w:t>
      </w:r>
      <w:r w:rsidR="00AB1D01">
        <w:rPr>
          <w:rFonts w:ascii="Book Antiqua" w:hAnsi="Book Antiqua" w:cs="Arial"/>
          <w:szCs w:val="24"/>
        </w:rPr>
        <w:t>,</w:t>
      </w:r>
      <w:r w:rsidR="00F31ABA" w:rsidRPr="007B7CF0">
        <w:rPr>
          <w:rStyle w:val="FootnoteReference"/>
          <w:rFonts w:ascii="Book Antiqua" w:hAnsi="Book Antiqua" w:cs="Arial"/>
          <w:szCs w:val="24"/>
        </w:rPr>
        <w:footnoteReference w:id="60"/>
      </w:r>
      <w:r w:rsidRPr="007B7CF0">
        <w:rPr>
          <w:rFonts w:ascii="Book Antiqua" w:hAnsi="Book Antiqua" w:cs="Arial"/>
          <w:szCs w:val="24"/>
        </w:rPr>
        <w:t xml:space="preserve"> and about how different people react to different circumstances</w:t>
      </w:r>
      <w:r w:rsidR="00F31ABA" w:rsidRPr="007B7CF0">
        <w:rPr>
          <w:rFonts w:ascii="Book Antiqua" w:hAnsi="Book Antiqua" w:cs="Arial"/>
          <w:szCs w:val="24"/>
        </w:rPr>
        <w:t>.</w:t>
      </w:r>
      <w:r w:rsidR="00F31ABA" w:rsidRPr="007B7CF0">
        <w:rPr>
          <w:rStyle w:val="FootnoteReference"/>
          <w:rFonts w:ascii="Book Antiqua" w:hAnsi="Book Antiqua" w:cs="Arial"/>
          <w:szCs w:val="24"/>
        </w:rPr>
        <w:footnoteReference w:id="61"/>
      </w:r>
      <w:r w:rsidR="00AB1D01">
        <w:rPr>
          <w:rFonts w:ascii="Book Antiqua" w:hAnsi="Book Antiqua" w:cs="Arial"/>
          <w:szCs w:val="24"/>
        </w:rPr>
        <w:t xml:space="preserve">  </w:t>
      </w:r>
      <w:r w:rsidRPr="007B7CF0">
        <w:rPr>
          <w:rFonts w:ascii="Book Antiqua" w:hAnsi="Book Antiqua" w:cs="Arial"/>
          <w:szCs w:val="24"/>
        </w:rPr>
        <w:t xml:space="preserve">Recommendation 8.6 provides an example of what is required in this respect: </w:t>
      </w:r>
    </w:p>
    <w:p w14:paraId="2917E90F" w14:textId="77777777" w:rsidR="003227C6" w:rsidRDefault="00296008" w:rsidP="007B7CF0">
      <w:pPr>
        <w:pStyle w:val="NumParra"/>
        <w:numPr>
          <w:ilvl w:val="0"/>
          <w:numId w:val="0"/>
        </w:numPr>
        <w:spacing w:line="240" w:lineRule="auto"/>
        <w:ind w:left="1440"/>
        <w:jc w:val="both"/>
        <w:rPr>
          <w:rFonts w:ascii="Book Antiqua" w:hAnsi="Book Antiqua" w:cs="Arial"/>
          <w:szCs w:val="24"/>
        </w:rPr>
      </w:pPr>
      <w:r w:rsidRPr="007B7CF0">
        <w:rPr>
          <w:rFonts w:ascii="Book Antiqua" w:hAnsi="Book Antiqua" w:cs="Arial"/>
          <w:szCs w:val="24"/>
        </w:rPr>
        <w:t>‘</w:t>
      </w:r>
      <w:r w:rsidR="003D64A0" w:rsidRPr="007B7CF0">
        <w:rPr>
          <w:rFonts w:ascii="Book Antiqua" w:hAnsi="Book Antiqua" w:cs="Arial"/>
          <w:szCs w:val="24"/>
        </w:rPr>
        <w:t xml:space="preserve">The </w:t>
      </w:r>
      <w:r w:rsidR="003D64A0" w:rsidRPr="00004D34">
        <w:rPr>
          <w:rFonts w:ascii="Book Antiqua" w:hAnsi="Book Antiqua" w:cs="Arial"/>
          <w:i/>
          <w:iCs/>
          <w:szCs w:val="24"/>
        </w:rPr>
        <w:t>Criminal Procedure Act</w:t>
      </w:r>
      <w:r w:rsidR="003D64A0" w:rsidRPr="007B7CF0">
        <w:rPr>
          <w:rFonts w:ascii="Book Antiqua" w:hAnsi="Book Antiqua" w:cs="Arial"/>
          <w:szCs w:val="24"/>
        </w:rPr>
        <w:t xml:space="preserve"> should include a direction stating that:</w:t>
      </w:r>
    </w:p>
    <w:p w14:paraId="4A0D6379" w14:textId="77777777" w:rsidR="003227C6" w:rsidRPr="00E82744" w:rsidRDefault="003227C6" w:rsidP="003227C6">
      <w:pPr>
        <w:pStyle w:val="NumParra"/>
        <w:numPr>
          <w:ilvl w:val="0"/>
          <w:numId w:val="27"/>
        </w:numPr>
        <w:spacing w:line="240" w:lineRule="auto"/>
        <w:jc w:val="both"/>
        <w:rPr>
          <w:rFonts w:ascii="Book Antiqua" w:hAnsi="Book Antiqua" w:cs="Arial"/>
          <w:szCs w:val="24"/>
        </w:rPr>
      </w:pPr>
      <w:r w:rsidRPr="00E82744">
        <w:rPr>
          <w:rFonts w:ascii="Book Antiqua" w:hAnsi="Book Antiqua" w:cs="Arial"/>
          <w:szCs w:val="24"/>
        </w:rPr>
        <w:t xml:space="preserve">trauma may affect people differently, which means that some people may show obvious signs of emotion or distress when giving evidence in court about an alleged sexual offence, but others may not, and </w:t>
      </w:r>
    </w:p>
    <w:p w14:paraId="409C453D" w14:textId="5E5984D4" w:rsidR="003D64A0" w:rsidRPr="00E82744" w:rsidRDefault="003D64A0" w:rsidP="003227C6">
      <w:pPr>
        <w:pStyle w:val="NumParra"/>
        <w:numPr>
          <w:ilvl w:val="0"/>
          <w:numId w:val="27"/>
        </w:numPr>
        <w:spacing w:line="240" w:lineRule="auto"/>
        <w:jc w:val="both"/>
        <w:rPr>
          <w:rFonts w:ascii="Book Antiqua" w:hAnsi="Book Antiqua" w:cs="Arial"/>
          <w:szCs w:val="24"/>
        </w:rPr>
      </w:pPr>
      <w:r w:rsidRPr="00E82744">
        <w:rPr>
          <w:rFonts w:ascii="Book Antiqua" w:hAnsi="Book Antiqua" w:cs="Arial"/>
          <w:szCs w:val="24"/>
        </w:rPr>
        <w:t xml:space="preserve"> </w:t>
      </w:r>
      <w:r w:rsidR="003227C6" w:rsidRPr="00E82744">
        <w:rPr>
          <w:rFonts w:ascii="Book Antiqua" w:hAnsi="Book Antiqua" w:cs="Arial"/>
          <w:szCs w:val="24"/>
        </w:rPr>
        <w:t>the presence or absence of emotion or distress does not necessarily mean that a person is not telling the truth about an alleged sexual offence.’</w:t>
      </w:r>
      <w:r w:rsidR="003227C6" w:rsidRPr="00E82744">
        <w:rPr>
          <w:rStyle w:val="FootnoteReference"/>
          <w:rFonts w:ascii="Book Antiqua" w:hAnsi="Book Antiqua" w:cs="Arial"/>
          <w:szCs w:val="24"/>
        </w:rPr>
        <w:footnoteReference w:id="62"/>
      </w:r>
      <w:r w:rsidR="003227C6" w:rsidRPr="00E82744">
        <w:rPr>
          <w:rFonts w:ascii="Book Antiqua" w:hAnsi="Book Antiqua" w:cs="Arial"/>
          <w:szCs w:val="24"/>
        </w:rPr>
        <w:t xml:space="preserve"> </w:t>
      </w:r>
      <w:r w:rsidR="003227C6" w:rsidRPr="00E82744">
        <w:rPr>
          <w:rFonts w:ascii="Book Antiqua" w:hAnsi="Book Antiqua" w:cs="Arial"/>
          <w:i/>
          <w:iCs/>
          <w:szCs w:val="24"/>
        </w:rPr>
        <w:t xml:space="preserve"> </w:t>
      </w:r>
    </w:p>
    <w:p w14:paraId="46190496" w14:textId="35D07FD0" w:rsidR="003D64A0" w:rsidRPr="00E82744" w:rsidRDefault="003D64A0" w:rsidP="007B7CF0">
      <w:pPr>
        <w:pStyle w:val="NumParra"/>
        <w:jc w:val="both"/>
        <w:rPr>
          <w:rFonts w:ascii="Book Antiqua" w:hAnsi="Book Antiqua" w:cs="Arial"/>
          <w:szCs w:val="24"/>
        </w:rPr>
      </w:pPr>
      <w:r w:rsidRPr="00E82744">
        <w:rPr>
          <w:rFonts w:ascii="Book Antiqua" w:hAnsi="Book Antiqua" w:cs="Arial"/>
          <w:szCs w:val="24"/>
        </w:rPr>
        <w:t xml:space="preserve">The overall effect of the Report’s recommendations is that significant </w:t>
      </w:r>
      <w:r w:rsidR="000B2B29">
        <w:rPr>
          <w:rFonts w:ascii="Book Antiqua" w:hAnsi="Book Antiqua" w:cs="Arial"/>
          <w:szCs w:val="24"/>
        </w:rPr>
        <w:t xml:space="preserve">legislative </w:t>
      </w:r>
      <w:r w:rsidRPr="00E82744">
        <w:rPr>
          <w:rFonts w:ascii="Book Antiqua" w:hAnsi="Book Antiqua" w:cs="Arial"/>
          <w:szCs w:val="24"/>
        </w:rPr>
        <w:t>change</w:t>
      </w:r>
      <w:r w:rsidR="0034583A">
        <w:rPr>
          <w:rFonts w:ascii="Book Antiqua" w:hAnsi="Book Antiqua" w:cs="Arial"/>
          <w:szCs w:val="24"/>
        </w:rPr>
        <w:t xml:space="preserve"> is necessary</w:t>
      </w:r>
      <w:r w:rsidR="00F337E7">
        <w:rPr>
          <w:rFonts w:ascii="Book Antiqua" w:hAnsi="Book Antiqua" w:cs="Arial"/>
          <w:szCs w:val="24"/>
        </w:rPr>
        <w:t xml:space="preserve"> </w:t>
      </w:r>
      <w:r w:rsidRPr="00E82744">
        <w:rPr>
          <w:rFonts w:ascii="Book Antiqua" w:hAnsi="Book Antiqua" w:cs="Arial"/>
          <w:szCs w:val="24"/>
        </w:rPr>
        <w:t xml:space="preserve">to ensure that popular conceptions </w:t>
      </w:r>
      <w:r w:rsidR="000B2B29">
        <w:rPr>
          <w:rFonts w:ascii="Book Antiqua" w:hAnsi="Book Antiqua" w:cs="Arial"/>
          <w:szCs w:val="24"/>
        </w:rPr>
        <w:t>and</w:t>
      </w:r>
      <w:r w:rsidR="000B2B29" w:rsidRPr="00E82744">
        <w:rPr>
          <w:rFonts w:ascii="Book Antiqua" w:hAnsi="Book Antiqua" w:cs="Arial"/>
          <w:szCs w:val="24"/>
        </w:rPr>
        <w:t xml:space="preserve"> </w:t>
      </w:r>
      <w:r w:rsidRPr="00E82744">
        <w:rPr>
          <w:rFonts w:ascii="Book Antiqua" w:hAnsi="Book Antiqua" w:cs="Arial"/>
          <w:szCs w:val="24"/>
        </w:rPr>
        <w:lastRenderedPageBreak/>
        <w:t xml:space="preserve">misconceptions about social behaviour and sexual norms do not distract the jury from the task as to whether there has been a sexual assault within the meaning of the law.  </w:t>
      </w:r>
      <w:r w:rsidR="00FA3C3A" w:rsidRPr="00E82744">
        <w:rPr>
          <w:rFonts w:ascii="Book Antiqua" w:hAnsi="Book Antiqua" w:cs="Arial"/>
          <w:szCs w:val="24"/>
        </w:rPr>
        <w:t xml:space="preserve">The </w:t>
      </w:r>
      <w:r w:rsidR="000B2B29">
        <w:rPr>
          <w:rFonts w:ascii="Book Antiqua" w:hAnsi="Book Antiqua" w:cs="Arial"/>
          <w:szCs w:val="24"/>
        </w:rPr>
        <w:t>Re</w:t>
      </w:r>
      <w:r w:rsidR="000B2B29" w:rsidRPr="00E82744">
        <w:rPr>
          <w:rFonts w:ascii="Book Antiqua" w:hAnsi="Book Antiqua" w:cs="Arial"/>
          <w:szCs w:val="24"/>
        </w:rPr>
        <w:t xml:space="preserve">port </w:t>
      </w:r>
      <w:r w:rsidR="000B2B29">
        <w:rPr>
          <w:rFonts w:ascii="Book Antiqua" w:hAnsi="Book Antiqua" w:cs="Arial"/>
          <w:szCs w:val="24"/>
        </w:rPr>
        <w:t xml:space="preserve">also </w:t>
      </w:r>
      <w:r w:rsidRPr="00E82744">
        <w:rPr>
          <w:rFonts w:ascii="Book Antiqua" w:hAnsi="Book Antiqua" w:cs="Arial"/>
          <w:szCs w:val="24"/>
        </w:rPr>
        <w:t>recognises that education around questions of consent</w:t>
      </w:r>
      <w:r w:rsidR="000B2B29">
        <w:rPr>
          <w:rFonts w:ascii="Book Antiqua" w:hAnsi="Book Antiqua" w:cs="Arial"/>
          <w:szCs w:val="24"/>
        </w:rPr>
        <w:t xml:space="preserve"> is </w:t>
      </w:r>
      <w:r w:rsidR="00C177C5">
        <w:rPr>
          <w:rFonts w:ascii="Book Antiqua" w:hAnsi="Book Antiqua" w:cs="Arial"/>
          <w:szCs w:val="24"/>
        </w:rPr>
        <w:t>required</w:t>
      </w:r>
      <w:r w:rsidRPr="00E82744">
        <w:rPr>
          <w:rFonts w:ascii="Book Antiqua" w:hAnsi="Book Antiqua" w:cs="Arial"/>
          <w:szCs w:val="24"/>
        </w:rPr>
        <w:t xml:space="preserve">.  </w:t>
      </w:r>
      <w:r w:rsidR="007E1E28" w:rsidRPr="00E82744">
        <w:rPr>
          <w:rFonts w:ascii="Book Antiqua" w:hAnsi="Book Antiqua" w:cs="Arial"/>
          <w:szCs w:val="24"/>
        </w:rPr>
        <w:t>Chanel</w:t>
      </w:r>
      <w:r w:rsidRPr="00E82744">
        <w:rPr>
          <w:rFonts w:ascii="Book Antiqua" w:hAnsi="Book Antiqua" w:cs="Arial"/>
          <w:szCs w:val="24"/>
        </w:rPr>
        <w:t xml:space="preserve"> </w:t>
      </w:r>
      <w:proofErr w:type="spellStart"/>
      <w:r w:rsidRPr="00E82744">
        <w:rPr>
          <w:rFonts w:ascii="Book Antiqua" w:hAnsi="Book Antiqua" w:cs="Arial"/>
          <w:szCs w:val="24"/>
        </w:rPr>
        <w:t>Contos</w:t>
      </w:r>
      <w:proofErr w:type="spellEnd"/>
      <w:r w:rsidRPr="00E82744">
        <w:rPr>
          <w:rFonts w:ascii="Book Antiqua" w:hAnsi="Book Antiqua" w:cs="Arial"/>
          <w:szCs w:val="24"/>
        </w:rPr>
        <w:t>’ advocacy</w:t>
      </w:r>
      <w:r w:rsidR="00CC6E0F" w:rsidRPr="00E82744">
        <w:rPr>
          <w:rFonts w:ascii="Book Antiqua" w:hAnsi="Book Antiqua" w:cs="Arial"/>
          <w:szCs w:val="24"/>
        </w:rPr>
        <w:t xml:space="preserve"> attest</w:t>
      </w:r>
      <w:r w:rsidR="00547A0F" w:rsidRPr="00E82744">
        <w:rPr>
          <w:rFonts w:ascii="Book Antiqua" w:hAnsi="Book Antiqua" w:cs="Arial"/>
          <w:szCs w:val="24"/>
        </w:rPr>
        <w:t>s</w:t>
      </w:r>
      <w:r w:rsidR="00CC6E0F" w:rsidRPr="00E82744">
        <w:rPr>
          <w:rFonts w:ascii="Book Antiqua" w:hAnsi="Book Antiqua" w:cs="Arial"/>
          <w:szCs w:val="24"/>
        </w:rPr>
        <w:t xml:space="preserve"> </w:t>
      </w:r>
      <w:r w:rsidR="00C177C5">
        <w:rPr>
          <w:rFonts w:ascii="Book Antiqua" w:hAnsi="Book Antiqua" w:cs="Arial"/>
          <w:szCs w:val="24"/>
        </w:rPr>
        <w:t>that this is so</w:t>
      </w:r>
      <w:r w:rsidRPr="00E82744">
        <w:rPr>
          <w:rFonts w:ascii="Book Antiqua" w:hAnsi="Book Antiqua" w:cs="Arial"/>
          <w:szCs w:val="24"/>
        </w:rPr>
        <w:t xml:space="preserve">.   </w:t>
      </w:r>
    </w:p>
    <w:p w14:paraId="0616A212" w14:textId="461CF05D" w:rsidR="00293D26" w:rsidRPr="00E82744" w:rsidRDefault="00C177C5" w:rsidP="007B7CF0">
      <w:pPr>
        <w:pStyle w:val="NumParra"/>
        <w:jc w:val="both"/>
        <w:rPr>
          <w:rFonts w:ascii="Book Antiqua" w:hAnsi="Book Antiqua" w:cs="Arial"/>
          <w:szCs w:val="24"/>
        </w:rPr>
      </w:pPr>
      <w:r>
        <w:rPr>
          <w:rFonts w:ascii="Book Antiqua" w:hAnsi="Book Antiqua" w:cs="Arial"/>
          <w:szCs w:val="24"/>
        </w:rPr>
        <w:t>Concern has been e</w:t>
      </w:r>
      <w:r w:rsidR="004C0E9A">
        <w:rPr>
          <w:rFonts w:ascii="Book Antiqua" w:hAnsi="Book Antiqua" w:cs="Arial"/>
          <w:szCs w:val="24"/>
        </w:rPr>
        <w:t>xpressed</w:t>
      </w:r>
      <w:r w:rsidR="003D64A0" w:rsidRPr="00E82744">
        <w:rPr>
          <w:rFonts w:ascii="Book Antiqua" w:hAnsi="Book Antiqua" w:cs="Arial"/>
          <w:szCs w:val="24"/>
        </w:rPr>
        <w:t xml:space="preserve"> that the legislation will criminalise behaviour </w:t>
      </w:r>
      <w:r w:rsidR="00FA3C3A" w:rsidRPr="00E82744">
        <w:rPr>
          <w:rFonts w:ascii="Book Antiqua" w:hAnsi="Book Antiqua" w:cs="Arial"/>
          <w:szCs w:val="24"/>
        </w:rPr>
        <w:t xml:space="preserve">when the answer should be </w:t>
      </w:r>
      <w:r w:rsidR="003D64A0" w:rsidRPr="00E82744">
        <w:rPr>
          <w:rFonts w:ascii="Book Antiqua" w:hAnsi="Book Antiqua" w:cs="Arial"/>
          <w:szCs w:val="24"/>
        </w:rPr>
        <w:t xml:space="preserve">for education around issues of consent and respect.  </w:t>
      </w:r>
      <w:r w:rsidR="00BF7FEB" w:rsidRPr="00E82744">
        <w:rPr>
          <w:rFonts w:ascii="Book Antiqua" w:hAnsi="Book Antiqua" w:cs="Arial"/>
          <w:szCs w:val="24"/>
        </w:rPr>
        <w:t>Some argue that</w:t>
      </w:r>
      <w:r w:rsidR="003D64A0" w:rsidRPr="00E82744">
        <w:rPr>
          <w:rFonts w:ascii="Book Antiqua" w:hAnsi="Book Antiqua" w:cs="Arial"/>
          <w:szCs w:val="24"/>
        </w:rPr>
        <w:t xml:space="preserve"> there </w:t>
      </w:r>
      <w:r w:rsidR="00D870A4" w:rsidRPr="00E82744">
        <w:rPr>
          <w:rFonts w:ascii="Book Antiqua" w:hAnsi="Book Antiqua" w:cs="Arial"/>
          <w:szCs w:val="24"/>
        </w:rPr>
        <w:t>are fears</w:t>
      </w:r>
      <w:r w:rsidR="003D64A0" w:rsidRPr="00E82744">
        <w:rPr>
          <w:rFonts w:ascii="Book Antiqua" w:hAnsi="Book Antiqua" w:cs="Arial"/>
          <w:szCs w:val="24"/>
        </w:rPr>
        <w:t xml:space="preserve"> of </w:t>
      </w:r>
      <w:r w:rsidR="00511C35" w:rsidRPr="00E82744">
        <w:rPr>
          <w:rFonts w:ascii="Book Antiqua" w:hAnsi="Book Antiqua" w:cs="Arial"/>
          <w:szCs w:val="24"/>
        </w:rPr>
        <w:t>‘</w:t>
      </w:r>
      <w:r w:rsidR="003D64A0" w:rsidRPr="00E82744">
        <w:rPr>
          <w:rFonts w:ascii="Book Antiqua" w:hAnsi="Book Antiqua" w:cs="Arial"/>
          <w:szCs w:val="24"/>
        </w:rPr>
        <w:t>some men being overly punished for minor transgressions</w:t>
      </w:r>
      <w:r w:rsidR="00511C35" w:rsidRPr="00E82744">
        <w:rPr>
          <w:rFonts w:ascii="Book Antiqua" w:hAnsi="Book Antiqua" w:cs="Arial"/>
          <w:szCs w:val="24"/>
        </w:rPr>
        <w:t>’</w:t>
      </w:r>
      <w:r w:rsidR="00D870A4" w:rsidRPr="00E82744">
        <w:rPr>
          <w:rFonts w:ascii="Book Antiqua" w:hAnsi="Book Antiqua" w:cs="Arial"/>
          <w:szCs w:val="24"/>
        </w:rPr>
        <w:t xml:space="preserve"> or </w:t>
      </w:r>
      <w:r w:rsidR="003D64A0" w:rsidRPr="00E82744">
        <w:rPr>
          <w:rFonts w:ascii="Book Antiqua" w:hAnsi="Book Antiqua" w:cs="Arial"/>
          <w:szCs w:val="24"/>
        </w:rPr>
        <w:t>ruinous false accusations.</w:t>
      </w:r>
      <w:r w:rsidR="003D64A0" w:rsidRPr="00E82744">
        <w:rPr>
          <w:rStyle w:val="FootnoteReference"/>
          <w:rFonts w:ascii="Book Antiqua" w:hAnsi="Book Antiqua" w:cs="Arial"/>
          <w:szCs w:val="24"/>
        </w:rPr>
        <w:footnoteReference w:id="63"/>
      </w:r>
      <w:r w:rsidR="003D64A0" w:rsidRPr="00E82744">
        <w:rPr>
          <w:rFonts w:ascii="Book Antiqua" w:hAnsi="Book Antiqua" w:cs="Arial"/>
          <w:szCs w:val="24"/>
        </w:rPr>
        <w:t xml:space="preserve">  </w:t>
      </w:r>
      <w:r w:rsidR="0034583A">
        <w:rPr>
          <w:rFonts w:ascii="Book Antiqua" w:hAnsi="Book Antiqua" w:cs="Arial"/>
          <w:szCs w:val="24"/>
        </w:rPr>
        <w:t>On the other hand, t</w:t>
      </w:r>
      <w:r w:rsidR="003B6215" w:rsidRPr="00E82744">
        <w:rPr>
          <w:rFonts w:ascii="Book Antiqua" w:hAnsi="Book Antiqua" w:cs="Arial"/>
          <w:szCs w:val="24"/>
        </w:rPr>
        <w:t xml:space="preserve">here is </w:t>
      </w:r>
      <w:r w:rsidR="003925F0" w:rsidRPr="00E82744">
        <w:rPr>
          <w:rFonts w:ascii="Book Antiqua" w:hAnsi="Book Antiqua" w:cs="Arial"/>
          <w:szCs w:val="24"/>
        </w:rPr>
        <w:t>anecdotal</w:t>
      </w:r>
      <w:r w:rsidR="00FA5DC3" w:rsidRPr="00E82744">
        <w:rPr>
          <w:rFonts w:ascii="Book Antiqua" w:hAnsi="Book Antiqua" w:cs="Arial"/>
          <w:szCs w:val="24"/>
        </w:rPr>
        <w:t xml:space="preserve"> evidence</w:t>
      </w:r>
      <w:r w:rsidR="002972AC" w:rsidRPr="00E82744">
        <w:rPr>
          <w:rFonts w:ascii="Book Antiqua" w:hAnsi="Book Antiqua" w:cs="Arial"/>
          <w:szCs w:val="24"/>
        </w:rPr>
        <w:t xml:space="preserve"> </w:t>
      </w:r>
      <w:r w:rsidR="0034583A">
        <w:rPr>
          <w:rFonts w:ascii="Book Antiqua" w:hAnsi="Book Antiqua" w:cs="Arial"/>
          <w:szCs w:val="24"/>
        </w:rPr>
        <w:t xml:space="preserve">that </w:t>
      </w:r>
      <w:r w:rsidR="001D4A52">
        <w:rPr>
          <w:rFonts w:ascii="Book Antiqua" w:hAnsi="Book Antiqua" w:cs="Arial"/>
          <w:szCs w:val="24"/>
        </w:rPr>
        <w:t xml:space="preserve">even where </w:t>
      </w:r>
      <w:r w:rsidR="00363028">
        <w:rPr>
          <w:rFonts w:ascii="Book Antiqua" w:hAnsi="Book Antiqua" w:cs="Arial"/>
          <w:szCs w:val="24"/>
        </w:rPr>
        <w:t xml:space="preserve">a report of abuse is accepted, a woman’s career may nonetheless be adversely </w:t>
      </w:r>
      <w:r w:rsidR="00982BB1" w:rsidRPr="00E82744">
        <w:rPr>
          <w:rFonts w:ascii="Book Antiqua" w:hAnsi="Book Antiqua" w:cs="Arial"/>
          <w:szCs w:val="24"/>
        </w:rPr>
        <w:t>affecte</w:t>
      </w:r>
      <w:r w:rsidR="00272B04" w:rsidRPr="00E82744">
        <w:rPr>
          <w:rFonts w:ascii="Book Antiqua" w:hAnsi="Book Antiqua" w:cs="Arial"/>
          <w:szCs w:val="24"/>
        </w:rPr>
        <w:t>d</w:t>
      </w:r>
      <w:r w:rsidR="00363028">
        <w:rPr>
          <w:rFonts w:ascii="Book Antiqua" w:hAnsi="Book Antiqua" w:cs="Arial"/>
          <w:szCs w:val="24"/>
        </w:rPr>
        <w:t xml:space="preserve">. </w:t>
      </w:r>
      <w:r w:rsidR="00272B04" w:rsidRPr="00E82744">
        <w:rPr>
          <w:rFonts w:ascii="Book Antiqua" w:hAnsi="Book Antiqua" w:cs="Arial"/>
          <w:szCs w:val="24"/>
        </w:rPr>
        <w:t xml:space="preserve"> </w:t>
      </w:r>
    </w:p>
    <w:p w14:paraId="3DE3A18F" w14:textId="77777777" w:rsidR="007E7805" w:rsidRDefault="003D64A0" w:rsidP="007B7CF0">
      <w:pPr>
        <w:pStyle w:val="NumParra"/>
        <w:jc w:val="both"/>
        <w:rPr>
          <w:rFonts w:ascii="Book Antiqua" w:hAnsi="Book Antiqua" w:cs="Arial"/>
          <w:szCs w:val="24"/>
        </w:rPr>
      </w:pPr>
      <w:r w:rsidRPr="00E82744">
        <w:rPr>
          <w:rFonts w:ascii="Book Antiqua" w:hAnsi="Book Antiqua" w:cs="Arial"/>
          <w:szCs w:val="24"/>
        </w:rPr>
        <w:t xml:space="preserve"> </w:t>
      </w:r>
      <w:r w:rsidR="00D921EE">
        <w:rPr>
          <w:rFonts w:ascii="Book Antiqua" w:hAnsi="Book Antiqua" w:cs="Arial"/>
          <w:szCs w:val="24"/>
        </w:rPr>
        <w:t xml:space="preserve">The question of how the law should best deal with </w:t>
      </w:r>
      <w:r w:rsidR="00E432B5">
        <w:rPr>
          <w:rFonts w:ascii="Book Antiqua" w:hAnsi="Book Antiqua" w:cs="Arial"/>
          <w:szCs w:val="24"/>
        </w:rPr>
        <w:t xml:space="preserve">questions of consent </w:t>
      </w:r>
      <w:r w:rsidRPr="00E82744">
        <w:rPr>
          <w:rFonts w:ascii="Book Antiqua" w:hAnsi="Book Antiqua" w:cs="Arial"/>
          <w:szCs w:val="24"/>
        </w:rPr>
        <w:t>is not straightforward</w:t>
      </w:r>
      <w:r w:rsidR="00E432B5">
        <w:rPr>
          <w:rFonts w:ascii="Book Antiqua" w:hAnsi="Book Antiqua" w:cs="Arial"/>
          <w:szCs w:val="24"/>
        </w:rPr>
        <w:t xml:space="preserve"> and </w:t>
      </w:r>
      <w:r w:rsidR="002A2737">
        <w:rPr>
          <w:rFonts w:ascii="Book Antiqua" w:hAnsi="Book Antiqua" w:cs="Arial"/>
          <w:szCs w:val="24"/>
        </w:rPr>
        <w:t xml:space="preserve">there </w:t>
      </w:r>
      <w:r w:rsidR="004D7ADD" w:rsidRPr="00E82744">
        <w:rPr>
          <w:rFonts w:ascii="Book Antiqua" w:hAnsi="Book Antiqua" w:cs="Arial"/>
          <w:szCs w:val="24"/>
        </w:rPr>
        <w:t>is</w:t>
      </w:r>
      <w:r w:rsidR="002C6243" w:rsidRPr="00E82744">
        <w:rPr>
          <w:rFonts w:ascii="Book Antiqua" w:hAnsi="Book Antiqua" w:cs="Arial"/>
          <w:szCs w:val="24"/>
        </w:rPr>
        <w:t xml:space="preserve">, and should be, </w:t>
      </w:r>
      <w:r w:rsidR="002A2737">
        <w:rPr>
          <w:rFonts w:ascii="Book Antiqua" w:hAnsi="Book Antiqua" w:cs="Arial"/>
          <w:szCs w:val="24"/>
        </w:rPr>
        <w:t>informed</w:t>
      </w:r>
      <w:r w:rsidR="002A2737" w:rsidRPr="00E82744">
        <w:rPr>
          <w:rFonts w:ascii="Book Antiqua" w:hAnsi="Book Antiqua" w:cs="Arial"/>
          <w:szCs w:val="24"/>
        </w:rPr>
        <w:t xml:space="preserve"> </w:t>
      </w:r>
      <w:r w:rsidR="00B960B5" w:rsidRPr="00E82744">
        <w:rPr>
          <w:rFonts w:ascii="Book Antiqua" w:hAnsi="Book Antiqua" w:cs="Arial"/>
          <w:szCs w:val="24"/>
        </w:rPr>
        <w:t xml:space="preserve">debate as to whether </w:t>
      </w:r>
      <w:r w:rsidR="002C6243" w:rsidRPr="00E82744">
        <w:rPr>
          <w:rFonts w:ascii="Book Antiqua" w:hAnsi="Book Antiqua" w:cs="Arial"/>
          <w:szCs w:val="24"/>
        </w:rPr>
        <w:t>the proposed reforms</w:t>
      </w:r>
      <w:r w:rsidR="008A6AE6">
        <w:rPr>
          <w:rFonts w:ascii="Book Antiqua" w:hAnsi="Book Antiqua" w:cs="Arial"/>
          <w:szCs w:val="24"/>
        </w:rPr>
        <w:t xml:space="preserve"> are necessary and whether, if introduced, they will be effective.  It is significant that the profession itself has not spoken with one voice</w:t>
      </w:r>
      <w:r w:rsidR="00415695">
        <w:rPr>
          <w:rFonts w:ascii="Book Antiqua" w:hAnsi="Book Antiqua" w:cs="Arial"/>
          <w:szCs w:val="24"/>
        </w:rPr>
        <w:t xml:space="preserve"> on the issue.  The initial response of the </w:t>
      </w:r>
      <w:r w:rsidR="002C6243" w:rsidRPr="00E82744">
        <w:rPr>
          <w:rFonts w:ascii="Book Antiqua" w:hAnsi="Book Antiqua" w:cs="Arial"/>
          <w:szCs w:val="24"/>
        </w:rPr>
        <w:t>NSW Bar Association</w:t>
      </w:r>
      <w:r w:rsidR="00415695">
        <w:rPr>
          <w:rFonts w:ascii="Book Antiqua" w:hAnsi="Book Antiqua" w:cs="Arial"/>
          <w:szCs w:val="24"/>
        </w:rPr>
        <w:t xml:space="preserve">, made through its </w:t>
      </w:r>
      <w:r w:rsidR="000A033F" w:rsidRPr="00E82744">
        <w:rPr>
          <w:rFonts w:ascii="Book Antiqua" w:hAnsi="Book Antiqua" w:cs="Arial"/>
          <w:szCs w:val="24"/>
        </w:rPr>
        <w:t>P</w:t>
      </w:r>
      <w:r w:rsidR="008E41BF" w:rsidRPr="00E82744">
        <w:rPr>
          <w:rFonts w:ascii="Book Antiqua" w:hAnsi="Book Antiqua" w:cs="Arial"/>
          <w:szCs w:val="24"/>
        </w:rPr>
        <w:t>resident</w:t>
      </w:r>
      <w:r w:rsidR="0034583A">
        <w:rPr>
          <w:rFonts w:ascii="Book Antiqua" w:hAnsi="Book Antiqua" w:cs="Arial"/>
          <w:szCs w:val="24"/>
        </w:rPr>
        <w:t>,</w:t>
      </w:r>
      <w:r w:rsidR="008E41BF" w:rsidRPr="00E82744">
        <w:rPr>
          <w:rFonts w:ascii="Book Antiqua" w:hAnsi="Book Antiqua" w:cs="Arial"/>
          <w:szCs w:val="24"/>
        </w:rPr>
        <w:t xml:space="preserve"> </w:t>
      </w:r>
      <w:r w:rsidR="00415695">
        <w:rPr>
          <w:rFonts w:ascii="Book Antiqua" w:hAnsi="Book Antiqua" w:cs="Arial"/>
          <w:szCs w:val="24"/>
        </w:rPr>
        <w:t>was</w:t>
      </w:r>
      <w:r w:rsidR="000A033F" w:rsidRPr="00E82744">
        <w:rPr>
          <w:rFonts w:ascii="Book Antiqua" w:hAnsi="Book Antiqua" w:cs="Arial"/>
          <w:szCs w:val="24"/>
        </w:rPr>
        <w:t xml:space="preserve"> </w:t>
      </w:r>
      <w:r w:rsidR="00E15DB0" w:rsidRPr="00E82744">
        <w:rPr>
          <w:rFonts w:ascii="Book Antiqua" w:hAnsi="Book Antiqua" w:cs="Arial"/>
          <w:szCs w:val="24"/>
        </w:rPr>
        <w:t>that t</w:t>
      </w:r>
      <w:r w:rsidR="008E41BF" w:rsidRPr="00E82744">
        <w:rPr>
          <w:rFonts w:ascii="Book Antiqua" w:hAnsi="Book Antiqua" w:cs="Arial"/>
          <w:szCs w:val="24"/>
        </w:rPr>
        <w:t xml:space="preserve">he Association </w:t>
      </w:r>
      <w:r w:rsidR="00924084" w:rsidRPr="00E82744">
        <w:rPr>
          <w:rFonts w:ascii="Book Antiqua" w:hAnsi="Book Antiqua" w:cs="Arial"/>
          <w:szCs w:val="24"/>
        </w:rPr>
        <w:t xml:space="preserve">strongly </w:t>
      </w:r>
      <w:r w:rsidR="008E41BF" w:rsidRPr="00E82744">
        <w:rPr>
          <w:rFonts w:ascii="Book Antiqua" w:hAnsi="Book Antiqua" w:cs="Arial"/>
          <w:szCs w:val="24"/>
        </w:rPr>
        <w:t>oppose</w:t>
      </w:r>
      <w:r w:rsidR="00E15DB0" w:rsidRPr="00E82744">
        <w:rPr>
          <w:rFonts w:ascii="Book Antiqua" w:hAnsi="Book Antiqua" w:cs="Arial"/>
          <w:szCs w:val="24"/>
        </w:rPr>
        <w:t>d</w:t>
      </w:r>
      <w:r w:rsidR="008E41BF" w:rsidRPr="00E82744">
        <w:rPr>
          <w:rFonts w:ascii="Book Antiqua" w:hAnsi="Book Antiqua" w:cs="Arial"/>
          <w:szCs w:val="24"/>
        </w:rPr>
        <w:t xml:space="preserve"> the reforms</w:t>
      </w:r>
      <w:r w:rsidR="00924084" w:rsidRPr="00E82744">
        <w:rPr>
          <w:rFonts w:ascii="Book Antiqua" w:hAnsi="Book Antiqua" w:cs="Arial"/>
          <w:szCs w:val="24"/>
        </w:rPr>
        <w:t xml:space="preserve"> ‘as </w:t>
      </w:r>
      <w:r w:rsidR="007947C3" w:rsidRPr="00E82744">
        <w:rPr>
          <w:rFonts w:ascii="Book Antiqua" w:hAnsi="Book Antiqua" w:cs="Arial"/>
          <w:szCs w:val="24"/>
        </w:rPr>
        <w:t>fundamentally misguided and likely to criminalise many respectful consensual sexual behaviours’</w:t>
      </w:r>
      <w:r w:rsidR="00415695">
        <w:rPr>
          <w:rFonts w:ascii="Book Antiqua" w:hAnsi="Book Antiqua" w:cs="Arial"/>
          <w:szCs w:val="24"/>
        </w:rPr>
        <w:t>.</w:t>
      </w:r>
      <w:r w:rsidR="0034583A">
        <w:rPr>
          <w:rStyle w:val="FootnoteReference"/>
          <w:rFonts w:ascii="Book Antiqua" w:hAnsi="Book Antiqua" w:cs="Arial"/>
          <w:szCs w:val="24"/>
        </w:rPr>
        <w:footnoteReference w:id="64"/>
      </w:r>
      <w:r w:rsidR="00415695">
        <w:rPr>
          <w:rFonts w:ascii="Book Antiqua" w:hAnsi="Book Antiqua" w:cs="Arial"/>
          <w:szCs w:val="24"/>
        </w:rPr>
        <w:t xml:space="preserve">  </w:t>
      </w:r>
    </w:p>
    <w:p w14:paraId="50FEB3B8" w14:textId="77777777" w:rsidR="007E7805" w:rsidRDefault="006D69F9" w:rsidP="007B7CF0">
      <w:pPr>
        <w:pStyle w:val="NumParra"/>
        <w:jc w:val="both"/>
        <w:rPr>
          <w:rFonts w:ascii="Book Antiqua" w:hAnsi="Book Antiqua" w:cs="Arial"/>
          <w:szCs w:val="24"/>
        </w:rPr>
      </w:pPr>
      <w:r w:rsidRPr="00E82744">
        <w:rPr>
          <w:rFonts w:ascii="Book Antiqua" w:hAnsi="Book Antiqua" w:cs="Arial"/>
          <w:szCs w:val="24"/>
        </w:rPr>
        <w:t>23 barristers, including 20</w:t>
      </w:r>
      <w:r w:rsidR="0080484E" w:rsidRPr="00E82744">
        <w:rPr>
          <w:rFonts w:ascii="Book Antiqua" w:hAnsi="Book Antiqua" w:cs="Arial"/>
          <w:szCs w:val="24"/>
        </w:rPr>
        <w:t xml:space="preserve"> Senior Counsel</w:t>
      </w:r>
      <w:r w:rsidRPr="00E82744">
        <w:rPr>
          <w:rFonts w:ascii="Book Antiqua" w:hAnsi="Book Antiqua" w:cs="Arial"/>
          <w:szCs w:val="24"/>
        </w:rPr>
        <w:t>,</w:t>
      </w:r>
      <w:r w:rsidR="0080484E" w:rsidRPr="00E82744">
        <w:rPr>
          <w:rFonts w:ascii="Book Antiqua" w:hAnsi="Book Antiqua" w:cs="Arial"/>
          <w:szCs w:val="24"/>
        </w:rPr>
        <w:t xml:space="preserve"> </w:t>
      </w:r>
      <w:r w:rsidR="00B257F5" w:rsidRPr="00E82744">
        <w:rPr>
          <w:rFonts w:ascii="Book Antiqua" w:hAnsi="Book Antiqua" w:cs="Arial"/>
          <w:szCs w:val="24"/>
        </w:rPr>
        <w:t>in an open letter</w:t>
      </w:r>
      <w:r w:rsidR="00B257F5">
        <w:rPr>
          <w:rFonts w:ascii="Book Antiqua" w:hAnsi="Book Antiqua" w:cs="Arial"/>
          <w:szCs w:val="24"/>
        </w:rPr>
        <w:t>,</w:t>
      </w:r>
      <w:r w:rsidR="00B257F5" w:rsidRPr="00E82744">
        <w:rPr>
          <w:rFonts w:ascii="Book Antiqua" w:hAnsi="Book Antiqua" w:cs="Arial"/>
          <w:szCs w:val="24"/>
        </w:rPr>
        <w:t xml:space="preserve"> </w:t>
      </w:r>
      <w:r w:rsidR="0080484E" w:rsidRPr="00E82744">
        <w:rPr>
          <w:rFonts w:ascii="Book Antiqua" w:hAnsi="Book Antiqua" w:cs="Arial"/>
          <w:szCs w:val="24"/>
        </w:rPr>
        <w:t>publicly disagreed.</w:t>
      </w:r>
      <w:r w:rsidR="00D1695A" w:rsidRPr="00E82744">
        <w:rPr>
          <w:rStyle w:val="FootnoteReference"/>
          <w:rFonts w:ascii="Book Antiqua" w:hAnsi="Book Antiqua" w:cs="Arial"/>
          <w:szCs w:val="24"/>
        </w:rPr>
        <w:footnoteReference w:id="65"/>
      </w:r>
      <w:r w:rsidR="005013F7" w:rsidRPr="00E82744">
        <w:rPr>
          <w:rFonts w:ascii="Book Antiqua" w:hAnsi="Book Antiqua" w:cs="Arial"/>
          <w:szCs w:val="24"/>
        </w:rPr>
        <w:t xml:space="preserve"> </w:t>
      </w:r>
      <w:r w:rsidR="0080484E" w:rsidRPr="00E82744">
        <w:rPr>
          <w:rFonts w:ascii="Book Antiqua" w:hAnsi="Book Antiqua" w:cs="Arial"/>
          <w:szCs w:val="24"/>
        </w:rPr>
        <w:t xml:space="preserve"> </w:t>
      </w:r>
      <w:r w:rsidR="00355E56" w:rsidRPr="00E82744">
        <w:rPr>
          <w:rFonts w:ascii="Book Antiqua" w:hAnsi="Book Antiqua" w:cs="Arial"/>
          <w:szCs w:val="24"/>
        </w:rPr>
        <w:t xml:space="preserve">The letter stated: </w:t>
      </w:r>
      <w:r w:rsidR="0027263F" w:rsidRPr="00E82744">
        <w:rPr>
          <w:rFonts w:ascii="Book Antiqua" w:hAnsi="Book Antiqua" w:cs="Arial"/>
          <w:szCs w:val="24"/>
        </w:rPr>
        <w:t>‘</w:t>
      </w:r>
      <w:r w:rsidR="00423432" w:rsidRPr="00E82744">
        <w:rPr>
          <w:rFonts w:ascii="Book Antiqua" w:hAnsi="Book Antiqua" w:cs="Arial"/>
          <w:szCs w:val="24"/>
        </w:rPr>
        <w:t>R</w:t>
      </w:r>
      <w:r w:rsidR="0027263F" w:rsidRPr="00E82744">
        <w:rPr>
          <w:rFonts w:ascii="Book Antiqua" w:hAnsi="Book Antiqua" w:cs="Arial"/>
          <w:szCs w:val="24"/>
        </w:rPr>
        <w:t xml:space="preserve">ecent years have confirmed that the current balance struck by sexual assault laws is not satisfactory. Something needs to </w:t>
      </w:r>
      <w:r w:rsidR="0027263F" w:rsidRPr="00E82744">
        <w:rPr>
          <w:rFonts w:ascii="Book Antiqua" w:hAnsi="Book Antiqua" w:cs="Arial"/>
          <w:szCs w:val="24"/>
        </w:rPr>
        <w:lastRenderedPageBreak/>
        <w:t>be done. While the rights of the accused should not be lost, the interest</w:t>
      </w:r>
      <w:r w:rsidR="008F6D89" w:rsidRPr="00E82744">
        <w:rPr>
          <w:rFonts w:ascii="Book Antiqua" w:hAnsi="Book Antiqua" w:cs="Arial"/>
          <w:szCs w:val="24"/>
        </w:rPr>
        <w:t>s</w:t>
      </w:r>
      <w:r w:rsidR="0027263F" w:rsidRPr="00E82744">
        <w:rPr>
          <w:rFonts w:ascii="Book Antiqua" w:hAnsi="Book Antiqua" w:cs="Arial"/>
          <w:szCs w:val="24"/>
        </w:rPr>
        <w:t xml:space="preserve"> of victim need</w:t>
      </w:r>
      <w:r w:rsidR="00AB4A2C" w:rsidRPr="00E82744">
        <w:rPr>
          <w:rFonts w:ascii="Book Antiqua" w:hAnsi="Book Antiqua" w:cs="Arial"/>
          <w:szCs w:val="24"/>
        </w:rPr>
        <w:t xml:space="preserve"> </w:t>
      </w:r>
      <w:r w:rsidR="0027263F" w:rsidRPr="00E82744">
        <w:rPr>
          <w:rFonts w:ascii="Book Antiqua" w:hAnsi="Book Antiqua" w:cs="Arial"/>
          <w:szCs w:val="24"/>
        </w:rPr>
        <w:t>better protection’.</w:t>
      </w:r>
      <w:r w:rsidR="00220148" w:rsidRPr="00E82744">
        <w:rPr>
          <w:rStyle w:val="FootnoteReference"/>
          <w:rFonts w:ascii="Book Antiqua" w:hAnsi="Book Antiqua" w:cs="Arial"/>
          <w:szCs w:val="24"/>
        </w:rPr>
        <w:footnoteReference w:id="66"/>
      </w:r>
      <w:r w:rsidR="0027263F" w:rsidRPr="00E82744">
        <w:rPr>
          <w:rFonts w:ascii="Book Antiqua" w:hAnsi="Book Antiqua" w:cs="Arial"/>
          <w:szCs w:val="24"/>
        </w:rPr>
        <w:t xml:space="preserve"> </w:t>
      </w:r>
      <w:r w:rsidR="00B257F5">
        <w:rPr>
          <w:rFonts w:ascii="Book Antiqua" w:hAnsi="Book Antiqua" w:cs="Arial"/>
          <w:szCs w:val="24"/>
        </w:rPr>
        <w:t xml:space="preserve"> </w:t>
      </w:r>
    </w:p>
    <w:p w14:paraId="48D1B6A6" w14:textId="17E1805A" w:rsidR="003D64A0" w:rsidRPr="00E82744" w:rsidRDefault="00B40E0A" w:rsidP="007B7CF0">
      <w:pPr>
        <w:pStyle w:val="NumParra"/>
        <w:jc w:val="both"/>
        <w:rPr>
          <w:rFonts w:ascii="Book Antiqua" w:hAnsi="Book Antiqua" w:cs="Arial"/>
          <w:szCs w:val="24"/>
        </w:rPr>
      </w:pPr>
      <w:r>
        <w:rPr>
          <w:rFonts w:ascii="Book Antiqua" w:hAnsi="Book Antiqua" w:cs="Arial"/>
          <w:szCs w:val="24"/>
        </w:rPr>
        <w:t>The Bar Association</w:t>
      </w:r>
      <w:r w:rsidR="00063DC6">
        <w:rPr>
          <w:rFonts w:ascii="Book Antiqua" w:hAnsi="Book Antiqua" w:cs="Arial"/>
          <w:szCs w:val="24"/>
        </w:rPr>
        <w:t xml:space="preserve"> </w:t>
      </w:r>
      <w:r w:rsidR="00E4514B">
        <w:rPr>
          <w:rFonts w:ascii="Book Antiqua" w:hAnsi="Book Antiqua" w:cs="Arial"/>
          <w:szCs w:val="24"/>
        </w:rPr>
        <w:t xml:space="preserve">subsequently </w:t>
      </w:r>
      <w:r w:rsidR="00460F1A">
        <w:rPr>
          <w:rFonts w:ascii="Book Antiqua" w:hAnsi="Book Antiqua" w:cs="Arial"/>
          <w:szCs w:val="24"/>
        </w:rPr>
        <w:t>clarified</w:t>
      </w:r>
      <w:r w:rsidR="00063DC6">
        <w:rPr>
          <w:rFonts w:ascii="Book Antiqua" w:hAnsi="Book Antiqua" w:cs="Arial"/>
          <w:szCs w:val="24"/>
        </w:rPr>
        <w:t xml:space="preserve"> its position </w:t>
      </w:r>
      <w:r w:rsidR="00DC7A3F">
        <w:rPr>
          <w:rFonts w:ascii="Book Antiqua" w:hAnsi="Book Antiqua" w:cs="Arial"/>
          <w:szCs w:val="24"/>
        </w:rPr>
        <w:t xml:space="preserve">noting that ‘sexual assault is an abhorrent crime’ </w:t>
      </w:r>
      <w:r w:rsidR="00497BB1">
        <w:rPr>
          <w:rFonts w:ascii="Book Antiqua" w:hAnsi="Book Antiqua" w:cs="Arial"/>
          <w:szCs w:val="24"/>
        </w:rPr>
        <w:t xml:space="preserve">and stating that the Association’s position was that ‘the criminal law </w:t>
      </w:r>
      <w:r w:rsidR="00AE0012">
        <w:rPr>
          <w:rFonts w:ascii="Book Antiqua" w:hAnsi="Book Antiqua" w:cs="Arial"/>
          <w:szCs w:val="24"/>
        </w:rPr>
        <w:t>must respond with clear and unambiguous rules regarding lack of consent’.</w:t>
      </w:r>
      <w:r w:rsidR="002554B6">
        <w:rPr>
          <w:rStyle w:val="FootnoteReference"/>
          <w:rFonts w:ascii="Book Antiqua" w:hAnsi="Book Antiqua" w:cs="Arial"/>
          <w:szCs w:val="24"/>
        </w:rPr>
        <w:footnoteReference w:id="67"/>
      </w:r>
      <w:r w:rsidR="00AE0012">
        <w:rPr>
          <w:rFonts w:ascii="Book Antiqua" w:hAnsi="Book Antiqua" w:cs="Arial"/>
          <w:szCs w:val="24"/>
        </w:rPr>
        <w:t xml:space="preserve"> </w:t>
      </w:r>
      <w:r w:rsidR="00063DC6">
        <w:rPr>
          <w:rFonts w:ascii="Book Antiqua" w:hAnsi="Book Antiqua" w:cs="Arial"/>
          <w:szCs w:val="24"/>
        </w:rPr>
        <w:t xml:space="preserve"> </w:t>
      </w:r>
      <w:r w:rsidR="007E7805">
        <w:rPr>
          <w:rFonts w:ascii="Book Antiqua" w:hAnsi="Book Antiqua" w:cs="Arial"/>
          <w:szCs w:val="24"/>
        </w:rPr>
        <w:t xml:space="preserve">The statement </w:t>
      </w:r>
      <w:r w:rsidR="00BB266A">
        <w:rPr>
          <w:rFonts w:ascii="Book Antiqua" w:hAnsi="Book Antiqua" w:cs="Arial"/>
          <w:szCs w:val="24"/>
        </w:rPr>
        <w:t>noted that the Association had supported certain aspects of the proposed reform</w:t>
      </w:r>
      <w:r w:rsidR="00460F1A">
        <w:rPr>
          <w:rFonts w:ascii="Book Antiqua" w:hAnsi="Book Antiqua" w:cs="Arial"/>
          <w:szCs w:val="24"/>
        </w:rPr>
        <w:t>s</w:t>
      </w:r>
      <w:r w:rsidR="00BB266A">
        <w:rPr>
          <w:rFonts w:ascii="Book Antiqua" w:hAnsi="Book Antiqua" w:cs="Arial"/>
          <w:szCs w:val="24"/>
        </w:rPr>
        <w:t xml:space="preserve"> but </w:t>
      </w:r>
      <w:r w:rsidR="008B6D0C">
        <w:rPr>
          <w:rFonts w:ascii="Book Antiqua" w:hAnsi="Book Antiqua" w:cs="Arial"/>
          <w:szCs w:val="24"/>
        </w:rPr>
        <w:t>had expressed its concerns in relation to other matters to the Law Reform Commission</w:t>
      </w:r>
      <w:r w:rsidR="00460F1A">
        <w:rPr>
          <w:rFonts w:ascii="Book Antiqua" w:hAnsi="Book Antiqua" w:cs="Arial"/>
          <w:szCs w:val="24"/>
        </w:rPr>
        <w:t xml:space="preserve">.  </w:t>
      </w:r>
      <w:r w:rsidR="00F17BD2">
        <w:rPr>
          <w:rFonts w:ascii="Book Antiqua" w:hAnsi="Book Antiqua" w:cs="Arial"/>
          <w:szCs w:val="24"/>
        </w:rPr>
        <w:t>The Association observed that ‘[c]</w:t>
      </w:r>
      <w:proofErr w:type="spellStart"/>
      <w:r w:rsidR="00F17BD2">
        <w:rPr>
          <w:rFonts w:ascii="Book Antiqua" w:hAnsi="Book Antiqua" w:cs="Arial"/>
          <w:szCs w:val="24"/>
        </w:rPr>
        <w:t>onsent</w:t>
      </w:r>
      <w:proofErr w:type="spellEnd"/>
      <w:r w:rsidR="00F17BD2">
        <w:rPr>
          <w:rFonts w:ascii="Book Antiqua" w:hAnsi="Book Antiqua" w:cs="Arial"/>
          <w:szCs w:val="24"/>
        </w:rPr>
        <w:t xml:space="preserve"> is an extremely important position</w:t>
      </w:r>
      <w:r w:rsidR="005A0FD3">
        <w:rPr>
          <w:rFonts w:ascii="Book Antiqua" w:hAnsi="Book Antiqua" w:cs="Arial"/>
          <w:szCs w:val="24"/>
        </w:rPr>
        <w:t xml:space="preserve">’ and that </w:t>
      </w:r>
      <w:r w:rsidR="00D74231">
        <w:rPr>
          <w:rFonts w:ascii="Book Antiqua" w:hAnsi="Book Antiqua" w:cs="Arial"/>
          <w:szCs w:val="24"/>
        </w:rPr>
        <w:t>‘</w:t>
      </w:r>
      <w:r w:rsidR="005A0FD3">
        <w:rPr>
          <w:rFonts w:ascii="Book Antiqua" w:hAnsi="Book Antiqua" w:cs="Arial"/>
          <w:szCs w:val="24"/>
        </w:rPr>
        <w:t xml:space="preserve">widespread and informed community discussion’ </w:t>
      </w:r>
      <w:r w:rsidR="00CC7CFA">
        <w:rPr>
          <w:rFonts w:ascii="Book Antiqua" w:hAnsi="Book Antiqua" w:cs="Arial"/>
          <w:szCs w:val="24"/>
        </w:rPr>
        <w:t>was ‘necessary and appropriate</w:t>
      </w:r>
      <w:r w:rsidR="0092487A">
        <w:rPr>
          <w:rFonts w:ascii="Book Antiqua" w:hAnsi="Book Antiqua" w:cs="Arial"/>
          <w:szCs w:val="24"/>
        </w:rPr>
        <w:t>’</w:t>
      </w:r>
      <w:r w:rsidR="00CC7CFA">
        <w:rPr>
          <w:rFonts w:ascii="Book Antiqua" w:hAnsi="Book Antiqua" w:cs="Arial"/>
          <w:szCs w:val="24"/>
        </w:rPr>
        <w:t>.</w:t>
      </w:r>
      <w:r w:rsidR="00BE18B2">
        <w:rPr>
          <w:rStyle w:val="FootnoteReference"/>
          <w:rFonts w:ascii="Book Antiqua" w:hAnsi="Book Antiqua" w:cs="Arial"/>
          <w:szCs w:val="24"/>
        </w:rPr>
        <w:footnoteReference w:id="68"/>
      </w:r>
    </w:p>
    <w:p w14:paraId="50BD7908" w14:textId="00531DDB" w:rsidR="006E1692" w:rsidRPr="00E82744" w:rsidRDefault="003D64A0" w:rsidP="00E82744">
      <w:pPr>
        <w:pStyle w:val="NumParra"/>
        <w:jc w:val="both"/>
        <w:rPr>
          <w:rFonts w:ascii="Book Antiqua" w:hAnsi="Book Antiqua" w:cs="Arial"/>
          <w:szCs w:val="24"/>
        </w:rPr>
      </w:pPr>
      <w:r w:rsidRPr="00E82744">
        <w:rPr>
          <w:rFonts w:ascii="Book Antiqua" w:hAnsi="Book Antiqua" w:cs="Arial"/>
          <w:szCs w:val="24"/>
        </w:rPr>
        <w:t xml:space="preserve"> </w:t>
      </w:r>
      <w:r w:rsidRPr="00C25CB6">
        <w:rPr>
          <w:rFonts w:ascii="Book Antiqua" w:hAnsi="Book Antiqua" w:cs="Arial"/>
          <w:szCs w:val="24"/>
        </w:rPr>
        <w:t xml:space="preserve">If I could conclude on this issue with </w:t>
      </w:r>
      <w:r w:rsidR="0034583A">
        <w:rPr>
          <w:rFonts w:ascii="Book Antiqua" w:hAnsi="Book Antiqua" w:cs="Arial"/>
          <w:szCs w:val="24"/>
        </w:rPr>
        <w:t>a</w:t>
      </w:r>
      <w:r w:rsidRPr="00C25CB6">
        <w:rPr>
          <w:rFonts w:ascii="Book Antiqua" w:hAnsi="Book Antiqua" w:cs="Arial"/>
          <w:szCs w:val="24"/>
        </w:rPr>
        <w:t xml:space="preserve"> reference – this time to popular culture</w:t>
      </w:r>
      <w:r w:rsidR="00B55B2C" w:rsidRPr="00C25CB6">
        <w:rPr>
          <w:rFonts w:ascii="Book Antiqua" w:hAnsi="Book Antiqua" w:cs="Arial"/>
          <w:szCs w:val="24"/>
        </w:rPr>
        <w:t xml:space="preserve"> </w:t>
      </w:r>
      <w:r w:rsidR="00004094" w:rsidRPr="00C25CB6">
        <w:rPr>
          <w:rFonts w:ascii="Book Antiqua" w:hAnsi="Book Antiqua" w:cs="Arial"/>
          <w:szCs w:val="24"/>
        </w:rPr>
        <w:t>–</w:t>
      </w:r>
      <w:r w:rsidR="00F84235">
        <w:rPr>
          <w:rFonts w:ascii="Book Antiqua" w:hAnsi="Book Antiqua" w:cs="Arial"/>
          <w:szCs w:val="24"/>
        </w:rPr>
        <w:t xml:space="preserve"> </w:t>
      </w:r>
      <w:r w:rsidRPr="00C25CB6">
        <w:rPr>
          <w:rFonts w:ascii="Book Antiqua" w:hAnsi="Book Antiqua" w:cs="Arial"/>
          <w:szCs w:val="24"/>
        </w:rPr>
        <w:t>Su</w:t>
      </w:r>
      <w:r w:rsidR="00FF497C" w:rsidRPr="00C25CB6">
        <w:rPr>
          <w:rFonts w:ascii="Book Antiqua" w:hAnsi="Book Antiqua" w:cs="Arial"/>
          <w:szCs w:val="24"/>
        </w:rPr>
        <w:t>z</w:t>
      </w:r>
      <w:r w:rsidRPr="00C25CB6">
        <w:rPr>
          <w:rFonts w:ascii="Book Antiqua" w:hAnsi="Book Antiqua" w:cs="Arial"/>
          <w:szCs w:val="24"/>
        </w:rPr>
        <w:t>ie Miller’s</w:t>
      </w:r>
      <w:r w:rsidR="00040742" w:rsidRPr="00C25CB6">
        <w:rPr>
          <w:rFonts w:ascii="Book Antiqua" w:hAnsi="Book Antiqua" w:cs="Arial"/>
          <w:szCs w:val="24"/>
        </w:rPr>
        <w:t xml:space="preserve"> </w:t>
      </w:r>
      <w:r w:rsidRPr="00C25CB6">
        <w:rPr>
          <w:rFonts w:ascii="Book Antiqua" w:hAnsi="Book Antiqua" w:cs="Arial"/>
          <w:szCs w:val="24"/>
        </w:rPr>
        <w:t xml:space="preserve">play </w:t>
      </w:r>
      <w:r w:rsidRPr="00C25CB6">
        <w:rPr>
          <w:rFonts w:ascii="Book Antiqua" w:hAnsi="Book Antiqua" w:cs="Arial"/>
          <w:i/>
          <w:iCs/>
          <w:szCs w:val="24"/>
        </w:rPr>
        <w:t>Prima Facie</w:t>
      </w:r>
      <w:r w:rsidR="00F84235">
        <w:rPr>
          <w:rFonts w:ascii="Book Antiqua" w:hAnsi="Book Antiqua" w:cs="Arial"/>
          <w:szCs w:val="24"/>
        </w:rPr>
        <w:t>, which played</w:t>
      </w:r>
      <w:r w:rsidR="00B85F0D" w:rsidRPr="00C25CB6">
        <w:rPr>
          <w:rFonts w:ascii="Book Antiqua" w:hAnsi="Book Antiqua" w:cs="Arial"/>
          <w:szCs w:val="24"/>
        </w:rPr>
        <w:t xml:space="preserve"> </w:t>
      </w:r>
      <w:r w:rsidRPr="00C25CB6">
        <w:rPr>
          <w:rFonts w:ascii="Book Antiqua" w:hAnsi="Book Antiqua" w:cs="Arial"/>
          <w:szCs w:val="24"/>
        </w:rPr>
        <w:t>at the Griffin Theatre</w:t>
      </w:r>
      <w:r w:rsidR="00F84235">
        <w:rPr>
          <w:rFonts w:ascii="Book Antiqua" w:hAnsi="Book Antiqua" w:cs="Arial"/>
          <w:szCs w:val="24"/>
        </w:rPr>
        <w:t xml:space="preserve"> in 2019</w:t>
      </w:r>
      <w:r w:rsidR="00C25CB6" w:rsidRPr="00C25CB6">
        <w:rPr>
          <w:rFonts w:ascii="Book Antiqua" w:hAnsi="Book Antiqua" w:cs="Arial"/>
          <w:szCs w:val="24"/>
        </w:rPr>
        <w:t>.</w:t>
      </w:r>
      <w:r w:rsidRPr="00C25CB6">
        <w:rPr>
          <w:rFonts w:ascii="Book Antiqua" w:hAnsi="Book Antiqua" w:cs="Arial"/>
          <w:szCs w:val="24"/>
        </w:rPr>
        <w:t xml:space="preserve">  Although</w:t>
      </w:r>
      <w:r w:rsidRPr="00E82744">
        <w:rPr>
          <w:rFonts w:ascii="Book Antiqua" w:hAnsi="Book Antiqua" w:cs="Arial"/>
          <w:szCs w:val="24"/>
        </w:rPr>
        <w:t xml:space="preserve"> exceptionally good drama, amongst the hardened lawyers</w:t>
      </w:r>
      <w:r w:rsidR="003F620F" w:rsidRPr="00E82744">
        <w:rPr>
          <w:rFonts w:ascii="Book Antiqua" w:hAnsi="Book Antiqua" w:cs="Arial"/>
          <w:szCs w:val="24"/>
        </w:rPr>
        <w:t xml:space="preserve"> in the audience, </w:t>
      </w:r>
      <w:r w:rsidRPr="00E82744">
        <w:rPr>
          <w:rFonts w:ascii="Book Antiqua" w:hAnsi="Book Antiqua" w:cs="Arial"/>
          <w:szCs w:val="24"/>
        </w:rPr>
        <w:t>the view was that the matter</w:t>
      </w:r>
      <w:r w:rsidR="00433720">
        <w:rPr>
          <w:rFonts w:ascii="Book Antiqua" w:hAnsi="Book Antiqua" w:cs="Arial"/>
          <w:szCs w:val="24"/>
        </w:rPr>
        <w:t>,</w:t>
      </w:r>
      <w:r w:rsidRPr="00E82744">
        <w:rPr>
          <w:rFonts w:ascii="Book Antiqua" w:hAnsi="Book Antiqua" w:cs="Arial"/>
          <w:szCs w:val="24"/>
        </w:rPr>
        <w:t xml:space="preserve"> involving a consensual office romance and a late night unexpected visit with sexual activity to which the young female said she did not consent, would never have been taken to trial</w:t>
      </w:r>
      <w:r w:rsidR="0034583A">
        <w:rPr>
          <w:rFonts w:ascii="Book Antiqua" w:hAnsi="Book Antiqua" w:cs="Arial"/>
          <w:szCs w:val="24"/>
        </w:rPr>
        <w:t>:</w:t>
      </w:r>
      <w:r w:rsidRPr="00E82744">
        <w:rPr>
          <w:rFonts w:ascii="Book Antiqua" w:hAnsi="Book Antiqua" w:cs="Arial"/>
          <w:szCs w:val="24"/>
        </w:rPr>
        <w:t xml:space="preserve">  word against word - always a tough gig.  Amongst the</w:t>
      </w:r>
      <w:r w:rsidR="0034583A">
        <w:rPr>
          <w:rFonts w:ascii="Book Antiqua" w:hAnsi="Book Antiqua" w:cs="Arial"/>
          <w:szCs w:val="24"/>
        </w:rPr>
        <w:t xml:space="preserve"> responses of</w:t>
      </w:r>
      <w:r w:rsidRPr="00E82744">
        <w:rPr>
          <w:rFonts w:ascii="Book Antiqua" w:hAnsi="Book Antiqua" w:cs="Arial"/>
          <w:szCs w:val="24"/>
        </w:rPr>
        <w:t xml:space="preserve"> young women to the play</w:t>
      </w:r>
      <w:r w:rsidR="0034583A">
        <w:rPr>
          <w:rFonts w:ascii="Book Antiqua" w:hAnsi="Book Antiqua" w:cs="Arial"/>
          <w:szCs w:val="24"/>
        </w:rPr>
        <w:t xml:space="preserve"> that I heard are</w:t>
      </w:r>
      <w:r w:rsidRPr="00E82744">
        <w:rPr>
          <w:rFonts w:ascii="Book Antiqua" w:hAnsi="Book Antiqua" w:cs="Arial"/>
          <w:szCs w:val="24"/>
        </w:rPr>
        <w:t xml:space="preserve"> anything from</w:t>
      </w:r>
      <w:r w:rsidR="00C25CB6">
        <w:rPr>
          <w:rFonts w:ascii="Book Antiqua" w:hAnsi="Book Antiqua" w:cs="Arial"/>
          <w:szCs w:val="24"/>
        </w:rPr>
        <w:t>,</w:t>
      </w:r>
      <w:r w:rsidRPr="00E82744">
        <w:rPr>
          <w:rFonts w:ascii="Book Antiqua" w:hAnsi="Book Antiqua" w:cs="Arial"/>
          <w:szCs w:val="24"/>
        </w:rPr>
        <w:t xml:space="preserve"> </w:t>
      </w:r>
      <w:r w:rsidR="00511C35" w:rsidRPr="00E82744">
        <w:rPr>
          <w:rFonts w:ascii="Book Antiqua" w:hAnsi="Book Antiqua" w:cs="Arial"/>
          <w:szCs w:val="24"/>
        </w:rPr>
        <w:t>‘</w:t>
      </w:r>
      <w:r w:rsidR="00C25CB6">
        <w:rPr>
          <w:rFonts w:ascii="Book Antiqua" w:hAnsi="Book Antiqua" w:cs="Arial"/>
          <w:szCs w:val="24"/>
        </w:rPr>
        <w:t>OMG</w:t>
      </w:r>
      <w:r w:rsidRPr="00E82744">
        <w:rPr>
          <w:rFonts w:ascii="Book Antiqua" w:hAnsi="Book Antiqua" w:cs="Arial"/>
          <w:szCs w:val="24"/>
        </w:rPr>
        <w:t>, it was so tense</w:t>
      </w:r>
      <w:r w:rsidR="00511C35" w:rsidRPr="00E82744">
        <w:rPr>
          <w:rFonts w:ascii="Book Antiqua" w:hAnsi="Book Antiqua" w:cs="Arial"/>
          <w:szCs w:val="24"/>
        </w:rPr>
        <w:t>’</w:t>
      </w:r>
      <w:r w:rsidRPr="00E82744">
        <w:rPr>
          <w:rFonts w:ascii="Book Antiqua" w:hAnsi="Book Antiqua" w:cs="Arial"/>
          <w:szCs w:val="24"/>
        </w:rPr>
        <w:t xml:space="preserve"> to the more definitive</w:t>
      </w:r>
      <w:r w:rsidR="00C25CB6">
        <w:rPr>
          <w:rFonts w:ascii="Book Antiqua" w:hAnsi="Book Antiqua" w:cs="Arial"/>
          <w:szCs w:val="24"/>
        </w:rPr>
        <w:t>,</w:t>
      </w:r>
      <w:r w:rsidRPr="00E82744">
        <w:rPr>
          <w:rFonts w:ascii="Book Antiqua" w:hAnsi="Book Antiqua" w:cs="Arial"/>
          <w:szCs w:val="24"/>
        </w:rPr>
        <w:t xml:space="preserve"> </w:t>
      </w:r>
      <w:r w:rsidR="00511C35" w:rsidRPr="00E82744">
        <w:rPr>
          <w:rFonts w:ascii="Book Antiqua" w:hAnsi="Book Antiqua" w:cs="Arial"/>
          <w:szCs w:val="24"/>
        </w:rPr>
        <w:t>‘</w:t>
      </w:r>
      <w:r w:rsidR="00C25CB6">
        <w:rPr>
          <w:rFonts w:ascii="Book Antiqua" w:hAnsi="Book Antiqua" w:cs="Arial"/>
          <w:szCs w:val="24"/>
        </w:rPr>
        <w:t>O</w:t>
      </w:r>
      <w:r w:rsidRPr="00E82744">
        <w:rPr>
          <w:rFonts w:ascii="Book Antiqua" w:hAnsi="Book Antiqua" w:cs="Arial"/>
          <w:szCs w:val="24"/>
        </w:rPr>
        <w:t>f course it was sexual assault</w:t>
      </w:r>
      <w:r w:rsidR="00511C35" w:rsidRPr="00E82744">
        <w:rPr>
          <w:rFonts w:ascii="Book Antiqua" w:hAnsi="Book Antiqua" w:cs="Arial"/>
          <w:szCs w:val="24"/>
        </w:rPr>
        <w:t>’</w:t>
      </w:r>
      <w:r w:rsidRPr="00E82744">
        <w:rPr>
          <w:rFonts w:ascii="Book Antiqua" w:hAnsi="Book Antiqua" w:cs="Arial"/>
          <w:szCs w:val="24"/>
        </w:rPr>
        <w:t>.</w:t>
      </w:r>
      <w:r w:rsidR="00664F22">
        <w:rPr>
          <w:rFonts w:ascii="Book Antiqua" w:hAnsi="Book Antiqua" w:cs="Arial"/>
          <w:szCs w:val="24"/>
        </w:rPr>
        <w:t xml:space="preserve">  Th</w:t>
      </w:r>
      <w:r w:rsidR="00BC110C">
        <w:rPr>
          <w:rFonts w:ascii="Book Antiqua" w:hAnsi="Book Antiqua" w:cs="Arial"/>
          <w:szCs w:val="24"/>
        </w:rPr>
        <w:t xml:space="preserve">ose responses </w:t>
      </w:r>
      <w:r w:rsidR="0034583A">
        <w:rPr>
          <w:rFonts w:ascii="Book Antiqua" w:hAnsi="Book Antiqua" w:cs="Arial"/>
          <w:szCs w:val="24"/>
        </w:rPr>
        <w:t>point to a likely</w:t>
      </w:r>
      <w:r w:rsidR="00BC110C">
        <w:rPr>
          <w:rFonts w:ascii="Book Antiqua" w:hAnsi="Book Antiqua" w:cs="Arial"/>
          <w:szCs w:val="24"/>
        </w:rPr>
        <w:t xml:space="preserve"> disconnect between the law as it operates in practice and what </w:t>
      </w:r>
      <w:r w:rsidR="001C409C">
        <w:rPr>
          <w:rFonts w:ascii="Book Antiqua" w:hAnsi="Book Antiqua" w:cs="Arial"/>
          <w:szCs w:val="24"/>
        </w:rPr>
        <w:t xml:space="preserve">should be accepted as </w:t>
      </w:r>
      <w:r w:rsidR="00A71C55">
        <w:rPr>
          <w:rFonts w:ascii="Book Antiqua" w:hAnsi="Book Antiqua" w:cs="Arial"/>
          <w:szCs w:val="24"/>
        </w:rPr>
        <w:t xml:space="preserve">consensual sexual </w:t>
      </w:r>
      <w:r w:rsidR="001C409C">
        <w:rPr>
          <w:rFonts w:ascii="Book Antiqua" w:hAnsi="Book Antiqua" w:cs="Arial"/>
          <w:szCs w:val="24"/>
        </w:rPr>
        <w:t>activity</w:t>
      </w:r>
      <w:r w:rsidR="00962609">
        <w:rPr>
          <w:rFonts w:ascii="Book Antiqua" w:hAnsi="Book Antiqua" w:cs="Arial"/>
          <w:szCs w:val="24"/>
        </w:rPr>
        <w:t>.</w:t>
      </w:r>
    </w:p>
    <w:p w14:paraId="6D0948BA" w14:textId="6999C7CC" w:rsidR="002F2D59" w:rsidRPr="0034583A" w:rsidRDefault="00962609" w:rsidP="0034583A">
      <w:pPr>
        <w:pStyle w:val="NumParra"/>
        <w:jc w:val="both"/>
        <w:rPr>
          <w:rFonts w:ascii="Book Antiqua" w:hAnsi="Book Antiqua" w:cs="Arial"/>
          <w:szCs w:val="24"/>
        </w:rPr>
      </w:pPr>
      <w:r>
        <w:rPr>
          <w:rFonts w:ascii="Book Antiqua" w:hAnsi="Book Antiqua" w:cs="Arial"/>
          <w:szCs w:val="24"/>
        </w:rPr>
        <w:t>The</w:t>
      </w:r>
      <w:r w:rsidRPr="00E82744">
        <w:rPr>
          <w:rFonts w:ascii="Book Antiqua" w:hAnsi="Book Antiqua" w:cs="Arial"/>
          <w:szCs w:val="24"/>
        </w:rPr>
        <w:t xml:space="preserve"> Attorney General’s position recognises that to this poin</w:t>
      </w:r>
      <w:r>
        <w:rPr>
          <w:rFonts w:ascii="Book Antiqua" w:hAnsi="Book Antiqua" w:cs="Arial"/>
          <w:szCs w:val="24"/>
        </w:rPr>
        <w:t>t, the law</w:t>
      </w:r>
      <w:r w:rsidRPr="00E82744">
        <w:rPr>
          <w:rFonts w:ascii="Book Antiqua" w:hAnsi="Book Antiqua" w:cs="Arial"/>
          <w:szCs w:val="24"/>
        </w:rPr>
        <w:t xml:space="preserve"> has not sufficiently protected women </w:t>
      </w:r>
      <w:r>
        <w:rPr>
          <w:rFonts w:ascii="Book Antiqua" w:hAnsi="Book Antiqua" w:cs="Arial"/>
          <w:szCs w:val="24"/>
        </w:rPr>
        <w:t>and</w:t>
      </w:r>
      <w:r w:rsidRPr="00E82744">
        <w:rPr>
          <w:rFonts w:ascii="Book Antiqua" w:hAnsi="Book Antiqua" w:cs="Arial"/>
          <w:szCs w:val="24"/>
        </w:rPr>
        <w:t xml:space="preserve"> men from sexual abuse. </w:t>
      </w:r>
      <w:r>
        <w:rPr>
          <w:rFonts w:ascii="Book Antiqua" w:hAnsi="Book Antiqua" w:cs="Arial"/>
          <w:szCs w:val="24"/>
        </w:rPr>
        <w:t xml:space="preserve">  The </w:t>
      </w:r>
      <w:r w:rsidR="00CC3C51">
        <w:rPr>
          <w:rFonts w:ascii="Book Antiqua" w:hAnsi="Book Antiqua" w:cs="Arial"/>
          <w:szCs w:val="24"/>
        </w:rPr>
        <w:t xml:space="preserve">position taken by young people such as Chanel </w:t>
      </w:r>
      <w:proofErr w:type="spellStart"/>
      <w:r w:rsidR="00CC3C51">
        <w:rPr>
          <w:rFonts w:ascii="Book Antiqua" w:hAnsi="Book Antiqua" w:cs="Arial"/>
          <w:szCs w:val="24"/>
        </w:rPr>
        <w:t>Contos</w:t>
      </w:r>
      <w:proofErr w:type="spellEnd"/>
      <w:r w:rsidR="00CC3C51">
        <w:rPr>
          <w:rFonts w:ascii="Book Antiqua" w:hAnsi="Book Antiqua" w:cs="Arial"/>
          <w:szCs w:val="24"/>
        </w:rPr>
        <w:t xml:space="preserve"> indicat</w:t>
      </w:r>
      <w:r w:rsidR="005268F7">
        <w:rPr>
          <w:rFonts w:ascii="Book Antiqua" w:hAnsi="Book Antiqua" w:cs="Arial"/>
          <w:szCs w:val="24"/>
        </w:rPr>
        <w:t>es</w:t>
      </w:r>
      <w:r w:rsidR="00CC3C51">
        <w:rPr>
          <w:rFonts w:ascii="Book Antiqua" w:hAnsi="Book Antiqua" w:cs="Arial"/>
          <w:szCs w:val="24"/>
        </w:rPr>
        <w:t xml:space="preserve"> that </w:t>
      </w:r>
      <w:r w:rsidR="00B31FCC">
        <w:rPr>
          <w:rFonts w:ascii="Book Antiqua" w:hAnsi="Book Antiqua" w:cs="Arial"/>
          <w:szCs w:val="24"/>
        </w:rPr>
        <w:t xml:space="preserve">there needs to </w:t>
      </w:r>
      <w:r w:rsidR="00BB7C9D">
        <w:rPr>
          <w:rFonts w:ascii="Book Antiqua" w:hAnsi="Book Antiqua" w:cs="Arial"/>
          <w:szCs w:val="24"/>
        </w:rPr>
        <w:t xml:space="preserve">be </w:t>
      </w:r>
      <w:r w:rsidR="00B31FCC">
        <w:rPr>
          <w:rFonts w:ascii="Book Antiqua" w:hAnsi="Book Antiqua" w:cs="Arial"/>
          <w:szCs w:val="24"/>
        </w:rPr>
        <w:t xml:space="preserve">much </w:t>
      </w:r>
      <w:r w:rsidR="00B31FCC">
        <w:rPr>
          <w:rFonts w:ascii="Book Antiqua" w:hAnsi="Book Antiqua" w:cs="Arial"/>
          <w:szCs w:val="24"/>
        </w:rPr>
        <w:lastRenderedPageBreak/>
        <w:t>better understanding</w:t>
      </w:r>
      <w:r w:rsidR="00BB7C9D">
        <w:rPr>
          <w:rFonts w:ascii="Book Antiqua" w:hAnsi="Book Antiqua" w:cs="Arial"/>
          <w:szCs w:val="24"/>
        </w:rPr>
        <w:t xml:space="preserve"> of consent</w:t>
      </w:r>
      <w:r w:rsidR="00241ED4">
        <w:rPr>
          <w:rFonts w:ascii="Book Antiqua" w:hAnsi="Book Antiqua" w:cs="Arial"/>
          <w:szCs w:val="24"/>
        </w:rPr>
        <w:t xml:space="preserve"> and that it should not be a matter of social expectation.  </w:t>
      </w:r>
    </w:p>
    <w:p w14:paraId="5AF2FA6A" w14:textId="091AC567" w:rsidR="003D64A0" w:rsidRPr="00E82744" w:rsidRDefault="007622F4" w:rsidP="00E82744">
      <w:pPr>
        <w:pStyle w:val="NumParra"/>
        <w:numPr>
          <w:ilvl w:val="0"/>
          <w:numId w:val="0"/>
        </w:numPr>
        <w:ind w:left="786" w:hanging="360"/>
        <w:jc w:val="both"/>
        <w:rPr>
          <w:rFonts w:ascii="Book Antiqua" w:hAnsi="Book Antiqua" w:cs="Arial"/>
          <w:szCs w:val="24"/>
        </w:rPr>
      </w:pPr>
      <w:r w:rsidRPr="00E82744">
        <w:rPr>
          <w:rFonts w:ascii="Book Antiqua" w:hAnsi="Book Antiqua" w:cs="Arial"/>
          <w:b/>
          <w:bCs/>
          <w:szCs w:val="24"/>
        </w:rPr>
        <w:t>D</w:t>
      </w:r>
      <w:r w:rsidR="00F31ABA" w:rsidRPr="00E82744">
        <w:rPr>
          <w:rFonts w:ascii="Book Antiqua" w:hAnsi="Book Antiqua" w:cs="Arial"/>
          <w:b/>
          <w:bCs/>
          <w:szCs w:val="24"/>
        </w:rPr>
        <w:t>omestic Violence and Coercive Control</w:t>
      </w:r>
    </w:p>
    <w:p w14:paraId="28E6553A" w14:textId="3A6EA404" w:rsidR="00B83421" w:rsidRPr="00E82744" w:rsidRDefault="00770B86" w:rsidP="00E82744">
      <w:pPr>
        <w:pStyle w:val="NumParra"/>
        <w:jc w:val="both"/>
        <w:rPr>
          <w:rFonts w:ascii="Book Antiqua" w:hAnsi="Book Antiqua" w:cs="Arial"/>
          <w:szCs w:val="24"/>
        </w:rPr>
      </w:pPr>
      <w:r>
        <w:rPr>
          <w:rFonts w:ascii="Book Antiqua" w:hAnsi="Book Antiqua" w:cs="Arial"/>
          <w:szCs w:val="24"/>
        </w:rPr>
        <w:t xml:space="preserve">At the start of this paper, </w:t>
      </w:r>
      <w:r w:rsidR="00702268" w:rsidRPr="00E82744">
        <w:rPr>
          <w:rFonts w:ascii="Book Antiqua" w:hAnsi="Book Antiqua" w:cs="Arial"/>
          <w:szCs w:val="24"/>
        </w:rPr>
        <w:t xml:space="preserve">I referred to the observation </w:t>
      </w:r>
      <w:r>
        <w:rPr>
          <w:rFonts w:ascii="Book Antiqua" w:hAnsi="Book Antiqua" w:cs="Arial"/>
          <w:szCs w:val="24"/>
        </w:rPr>
        <w:t xml:space="preserve">made </w:t>
      </w:r>
      <w:r w:rsidR="00702268" w:rsidRPr="00E82744">
        <w:rPr>
          <w:rFonts w:ascii="Book Antiqua" w:hAnsi="Book Antiqua" w:cs="Arial"/>
          <w:szCs w:val="24"/>
        </w:rPr>
        <w:t xml:space="preserve">in </w:t>
      </w:r>
      <w:r w:rsidR="00B83421" w:rsidRPr="00E82744">
        <w:rPr>
          <w:rFonts w:ascii="Book Antiqua" w:hAnsi="Book Antiqua" w:cs="Arial"/>
          <w:szCs w:val="24"/>
        </w:rPr>
        <w:t>the</w:t>
      </w:r>
      <w:r>
        <w:rPr>
          <w:rFonts w:ascii="Book Antiqua" w:hAnsi="Book Antiqua" w:cs="Arial"/>
          <w:szCs w:val="24"/>
        </w:rPr>
        <w:t xml:space="preserve"> recent Report on</w:t>
      </w:r>
      <w:r w:rsidR="00B83421" w:rsidRPr="00E82744">
        <w:rPr>
          <w:rFonts w:ascii="Book Antiqua" w:hAnsi="Book Antiqua" w:cs="Arial"/>
          <w:szCs w:val="24"/>
        </w:rPr>
        <w:t xml:space="preserve"> </w:t>
      </w:r>
      <w:r w:rsidR="00B83421" w:rsidRPr="00770B86">
        <w:rPr>
          <w:rFonts w:ascii="Book Antiqua" w:hAnsi="Book Antiqua" w:cs="Arial"/>
          <w:szCs w:val="24"/>
        </w:rPr>
        <w:t>Coercive Control in Domestic Relationships</w:t>
      </w:r>
      <w:r>
        <w:rPr>
          <w:rFonts w:ascii="Book Antiqua" w:hAnsi="Book Antiqua" w:cs="Arial"/>
          <w:szCs w:val="24"/>
        </w:rPr>
        <w:t xml:space="preserve"> </w:t>
      </w:r>
      <w:r w:rsidR="00B83421" w:rsidRPr="00E82744">
        <w:rPr>
          <w:rFonts w:ascii="Book Antiqua" w:hAnsi="Book Antiqua" w:cs="Arial"/>
          <w:szCs w:val="24"/>
        </w:rPr>
        <w:t>that</w:t>
      </w:r>
      <w:r>
        <w:rPr>
          <w:rFonts w:ascii="Book Antiqua" w:hAnsi="Book Antiqua" w:cs="Arial"/>
          <w:szCs w:val="24"/>
        </w:rPr>
        <w:t xml:space="preserve"> the </w:t>
      </w:r>
      <w:r w:rsidR="008A37B4" w:rsidRPr="00E82744">
        <w:rPr>
          <w:rFonts w:ascii="Book Antiqua" w:hAnsi="Book Antiqua" w:cs="Arial"/>
          <w:szCs w:val="24"/>
        </w:rPr>
        <w:t>statistics reveal</w:t>
      </w:r>
      <w:r w:rsidR="00B83421" w:rsidRPr="00E82744">
        <w:rPr>
          <w:rFonts w:ascii="Book Antiqua" w:hAnsi="Book Antiqua" w:cs="Arial"/>
          <w:szCs w:val="24"/>
        </w:rPr>
        <w:t xml:space="preserve"> a </w:t>
      </w:r>
      <w:r w:rsidR="004A45DA">
        <w:rPr>
          <w:rFonts w:ascii="Book Antiqua" w:hAnsi="Book Antiqua" w:cs="Arial"/>
          <w:szCs w:val="24"/>
        </w:rPr>
        <w:t>‘</w:t>
      </w:r>
      <w:r w:rsidR="00B83421" w:rsidRPr="00E82744">
        <w:rPr>
          <w:rFonts w:ascii="Book Antiqua" w:hAnsi="Book Antiqua" w:cs="Arial"/>
          <w:szCs w:val="24"/>
        </w:rPr>
        <w:t>pandemic of</w:t>
      </w:r>
      <w:r w:rsidR="00B83421" w:rsidRPr="00E82744">
        <w:rPr>
          <w:rFonts w:ascii="Book Antiqua" w:hAnsi="Book Antiqua"/>
          <w:szCs w:val="24"/>
        </w:rPr>
        <w:t xml:space="preserve"> domestic abuse</w:t>
      </w:r>
      <w:r w:rsidR="004A45DA">
        <w:rPr>
          <w:rFonts w:ascii="Book Antiqua" w:hAnsi="Book Antiqua"/>
          <w:szCs w:val="24"/>
        </w:rPr>
        <w:t>’</w:t>
      </w:r>
      <w:r w:rsidR="00B83421" w:rsidRPr="00E82744">
        <w:rPr>
          <w:rFonts w:ascii="Book Antiqua" w:hAnsi="Book Antiqua"/>
          <w:szCs w:val="24"/>
        </w:rPr>
        <w:t>.</w:t>
      </w:r>
      <w:r w:rsidR="004A45DA">
        <w:rPr>
          <w:rStyle w:val="FootnoteReference"/>
          <w:rFonts w:ascii="Book Antiqua" w:hAnsi="Book Antiqua"/>
          <w:szCs w:val="24"/>
        </w:rPr>
        <w:footnoteReference w:id="69"/>
      </w:r>
      <w:r w:rsidR="008A37B4" w:rsidRPr="00E82744">
        <w:rPr>
          <w:rFonts w:ascii="Book Antiqua" w:hAnsi="Book Antiqua"/>
          <w:szCs w:val="24"/>
        </w:rPr>
        <w:t xml:space="preserve">  This is </w:t>
      </w:r>
      <w:r w:rsidR="00BE2D6B" w:rsidRPr="00E82744">
        <w:rPr>
          <w:rFonts w:ascii="Book Antiqua" w:hAnsi="Book Antiqua"/>
          <w:szCs w:val="24"/>
        </w:rPr>
        <w:t xml:space="preserve">clearly </w:t>
      </w:r>
      <w:r w:rsidR="008A37B4" w:rsidRPr="00E82744">
        <w:rPr>
          <w:rFonts w:ascii="Book Antiqua" w:hAnsi="Book Antiqua"/>
          <w:szCs w:val="24"/>
        </w:rPr>
        <w:t>borne out in</w:t>
      </w:r>
      <w:r w:rsidR="008D7755">
        <w:rPr>
          <w:rFonts w:ascii="Book Antiqua" w:hAnsi="Book Antiqua"/>
          <w:szCs w:val="24"/>
        </w:rPr>
        <w:t xml:space="preserve"> the</w:t>
      </w:r>
      <w:r w:rsidR="008A37B4" w:rsidRPr="00E82744">
        <w:rPr>
          <w:rFonts w:ascii="Book Antiqua" w:hAnsi="Book Antiqua"/>
          <w:szCs w:val="24"/>
        </w:rPr>
        <w:t xml:space="preserve"> </w:t>
      </w:r>
      <w:r w:rsidR="00BE2D6B" w:rsidRPr="00E82744">
        <w:rPr>
          <w:rFonts w:ascii="Book Antiqua" w:hAnsi="Book Antiqua" w:cs="Arial"/>
          <w:szCs w:val="24"/>
        </w:rPr>
        <w:t>2016 Personal Safety Survey results:</w:t>
      </w:r>
    </w:p>
    <w:p w14:paraId="1A239720" w14:textId="33FA1185" w:rsidR="00F31ABA" w:rsidRPr="00E82744" w:rsidRDefault="004A0F44">
      <w:pPr>
        <w:pStyle w:val="NumParra"/>
        <w:numPr>
          <w:ilvl w:val="0"/>
          <w:numId w:val="13"/>
        </w:numPr>
        <w:jc w:val="both"/>
        <w:rPr>
          <w:rFonts w:ascii="Book Antiqua" w:hAnsi="Book Antiqua" w:cs="Arial"/>
          <w:color w:val="000000"/>
          <w:szCs w:val="24"/>
        </w:rPr>
      </w:pPr>
      <w:r>
        <w:rPr>
          <w:rFonts w:ascii="Book Antiqua" w:hAnsi="Book Antiqua" w:cs="Arial"/>
          <w:color w:val="000000"/>
          <w:szCs w:val="24"/>
        </w:rPr>
        <w:t>‘</w:t>
      </w:r>
      <w:r w:rsidR="003D64A0" w:rsidRPr="00E82744">
        <w:rPr>
          <w:rFonts w:ascii="Book Antiqua" w:hAnsi="Book Antiqua" w:cs="Arial"/>
          <w:color w:val="000000"/>
          <w:szCs w:val="24"/>
        </w:rPr>
        <w:t>More than one in three Australians experienced violence by a male perpetrator since the age of 15 (36% or 6.7 million), compared to one in ten by a female perpetrator (11% or 2 million)</w:t>
      </w:r>
      <w:r>
        <w:rPr>
          <w:rFonts w:ascii="Book Antiqua" w:hAnsi="Book Antiqua" w:cs="Arial"/>
          <w:color w:val="000000"/>
          <w:szCs w:val="24"/>
        </w:rPr>
        <w:t>’</w:t>
      </w:r>
      <w:r w:rsidRPr="004A0F44">
        <w:rPr>
          <w:rStyle w:val="FootnoteReference"/>
          <w:rFonts w:ascii="Book Antiqua" w:hAnsi="Book Antiqua" w:cs="Arial"/>
          <w:color w:val="000000"/>
          <w:szCs w:val="24"/>
        </w:rPr>
        <w:t xml:space="preserve"> </w:t>
      </w:r>
      <w:r>
        <w:rPr>
          <w:rStyle w:val="FootnoteReference"/>
          <w:rFonts w:ascii="Book Antiqua" w:hAnsi="Book Antiqua" w:cs="Arial"/>
          <w:color w:val="000000"/>
          <w:szCs w:val="24"/>
        </w:rPr>
        <w:footnoteReference w:id="70"/>
      </w:r>
      <w:r w:rsidR="00F31ABA" w:rsidRPr="00E82744">
        <w:rPr>
          <w:rFonts w:ascii="Book Antiqua" w:hAnsi="Book Antiqua" w:cs="Arial"/>
          <w:color w:val="000000"/>
          <w:szCs w:val="24"/>
        </w:rPr>
        <w:t xml:space="preserve"> </w:t>
      </w:r>
      <w:r w:rsidR="003D64A0" w:rsidRPr="00E82744">
        <w:rPr>
          <w:rFonts w:ascii="Book Antiqua" w:hAnsi="Book Antiqua" w:cs="Arial"/>
          <w:color w:val="000000"/>
          <w:szCs w:val="24"/>
        </w:rPr>
        <w:t>-</w:t>
      </w:r>
      <w:r w:rsidR="00F31ABA" w:rsidRPr="00E82744">
        <w:rPr>
          <w:rFonts w:ascii="Book Antiqua" w:hAnsi="Book Antiqua" w:cs="Arial"/>
          <w:color w:val="000000"/>
          <w:szCs w:val="24"/>
        </w:rPr>
        <w:t xml:space="preserve"> </w:t>
      </w:r>
      <w:r w:rsidR="003D64A0" w:rsidRPr="00E82744">
        <w:rPr>
          <w:rFonts w:ascii="Book Antiqua" w:hAnsi="Book Antiqua" w:cs="Arial"/>
          <w:color w:val="000000"/>
          <w:szCs w:val="24"/>
        </w:rPr>
        <w:t>but in either case, a disturbing figure</w:t>
      </w:r>
      <w:r w:rsidR="00F31ABA" w:rsidRPr="00E82744">
        <w:rPr>
          <w:rFonts w:ascii="Book Antiqua" w:hAnsi="Book Antiqua" w:cs="Arial"/>
          <w:color w:val="000000"/>
          <w:szCs w:val="24"/>
        </w:rPr>
        <w:t xml:space="preserve">. </w:t>
      </w:r>
    </w:p>
    <w:p w14:paraId="573129C6" w14:textId="75969E9B" w:rsidR="003D64A0" w:rsidRPr="00E82744" w:rsidRDefault="004A0F44" w:rsidP="007B7CF0">
      <w:pPr>
        <w:pStyle w:val="NumParra"/>
        <w:numPr>
          <w:ilvl w:val="0"/>
          <w:numId w:val="13"/>
        </w:numPr>
        <w:jc w:val="both"/>
        <w:rPr>
          <w:rFonts w:ascii="Book Antiqua" w:hAnsi="Book Antiqua" w:cs="Arial"/>
          <w:color w:val="000000"/>
          <w:szCs w:val="24"/>
        </w:rPr>
      </w:pPr>
      <w:r>
        <w:rPr>
          <w:rFonts w:ascii="Book Antiqua" w:hAnsi="Book Antiqua" w:cs="Arial"/>
          <w:color w:val="000000"/>
          <w:szCs w:val="24"/>
        </w:rPr>
        <w:t>‘</w:t>
      </w:r>
      <w:r w:rsidR="003D64A0" w:rsidRPr="00E82744">
        <w:rPr>
          <w:rFonts w:ascii="Book Antiqua" w:hAnsi="Book Antiqua" w:cs="Arial"/>
          <w:color w:val="000000"/>
          <w:szCs w:val="24"/>
        </w:rPr>
        <w:t>Approximately one in four women (23% or 2.2 million) experienced violence by an intimate partner, compared to one in thirteen men (7.8% or 703,700)</w:t>
      </w:r>
      <w:r>
        <w:rPr>
          <w:rFonts w:ascii="Book Antiqua" w:hAnsi="Book Antiqua" w:cs="Arial"/>
          <w:color w:val="000000"/>
          <w:szCs w:val="24"/>
        </w:rPr>
        <w:t>’</w:t>
      </w:r>
      <w:r w:rsidR="003D64A0" w:rsidRPr="00E82744">
        <w:rPr>
          <w:rFonts w:ascii="Book Antiqua" w:hAnsi="Book Antiqua" w:cs="Arial"/>
          <w:color w:val="000000"/>
          <w:szCs w:val="24"/>
        </w:rPr>
        <w:t>.</w:t>
      </w:r>
      <w:r w:rsidR="006A352A">
        <w:rPr>
          <w:rStyle w:val="FootnoteReference"/>
          <w:rFonts w:ascii="Book Antiqua" w:hAnsi="Book Antiqua" w:cs="Arial"/>
          <w:color w:val="000000"/>
          <w:szCs w:val="24"/>
        </w:rPr>
        <w:footnoteReference w:id="71"/>
      </w:r>
      <w:r w:rsidR="003D64A0" w:rsidRPr="00E82744">
        <w:rPr>
          <w:rFonts w:ascii="Book Antiqua" w:hAnsi="Book Antiqua" w:cs="Arial"/>
          <w:color w:val="000000"/>
          <w:szCs w:val="24"/>
        </w:rPr>
        <w:t xml:space="preserve"> </w:t>
      </w:r>
    </w:p>
    <w:p w14:paraId="1350EDE1" w14:textId="28C8B990" w:rsidR="00C04F33" w:rsidRPr="0034583A" w:rsidRDefault="004A0F44" w:rsidP="0034583A">
      <w:pPr>
        <w:pStyle w:val="NumParra"/>
        <w:numPr>
          <w:ilvl w:val="0"/>
          <w:numId w:val="13"/>
        </w:numPr>
        <w:jc w:val="both"/>
        <w:rPr>
          <w:rFonts w:ascii="Book Antiqua" w:hAnsi="Book Antiqua" w:cs="Arial"/>
          <w:color w:val="000000"/>
          <w:szCs w:val="24"/>
        </w:rPr>
      </w:pPr>
      <w:r>
        <w:rPr>
          <w:rFonts w:ascii="Book Antiqua" w:hAnsi="Book Antiqua" w:cs="Arial"/>
          <w:color w:val="000000"/>
          <w:szCs w:val="24"/>
        </w:rPr>
        <w:t>‘</w:t>
      </w:r>
      <w:r w:rsidR="003D64A0" w:rsidRPr="00E82744">
        <w:rPr>
          <w:rFonts w:ascii="Book Antiqua" w:hAnsi="Book Antiqua" w:cs="Arial"/>
          <w:color w:val="000000"/>
          <w:szCs w:val="24"/>
        </w:rPr>
        <w:t>More than one in four men (27% or 2.5 million) experienced violence by a stranger, compared to one in eleven women (9.4% or 880,800)</w:t>
      </w:r>
      <w:r w:rsidR="0093258D">
        <w:rPr>
          <w:rFonts w:ascii="Book Antiqua" w:hAnsi="Book Antiqua" w:cs="Arial"/>
          <w:color w:val="000000"/>
          <w:szCs w:val="24"/>
        </w:rPr>
        <w:t>’</w:t>
      </w:r>
      <w:r w:rsidR="003D64A0" w:rsidRPr="00E82744">
        <w:rPr>
          <w:rFonts w:ascii="Book Antiqua" w:hAnsi="Book Antiqua" w:cs="Arial"/>
          <w:color w:val="000000"/>
          <w:szCs w:val="24"/>
        </w:rPr>
        <w:t>.</w:t>
      </w:r>
      <w:r w:rsidR="00E436B6" w:rsidRPr="00E82744">
        <w:rPr>
          <w:rStyle w:val="FootnoteReference"/>
          <w:rFonts w:ascii="Book Antiqua" w:hAnsi="Book Antiqua" w:cs="Arial"/>
          <w:color w:val="000000"/>
          <w:szCs w:val="24"/>
        </w:rPr>
        <w:footnoteReference w:id="72"/>
      </w:r>
    </w:p>
    <w:p w14:paraId="25046D87" w14:textId="17863158" w:rsidR="003D64A0" w:rsidRPr="00E82744" w:rsidRDefault="0034583A" w:rsidP="007B7CF0">
      <w:pPr>
        <w:pStyle w:val="NumParra"/>
        <w:jc w:val="both"/>
        <w:rPr>
          <w:rFonts w:ascii="Book Antiqua" w:hAnsi="Book Antiqua" w:cs="Arial"/>
          <w:szCs w:val="24"/>
        </w:rPr>
      </w:pPr>
      <w:r>
        <w:rPr>
          <w:rFonts w:ascii="Book Antiqua" w:hAnsi="Book Antiqua"/>
          <w:szCs w:val="24"/>
        </w:rPr>
        <w:t>The principal legislation relating to domestic abuse is</w:t>
      </w:r>
      <w:r w:rsidR="003A5305">
        <w:rPr>
          <w:rFonts w:ascii="Book Antiqua" w:hAnsi="Book Antiqua"/>
          <w:szCs w:val="24"/>
        </w:rPr>
        <w:t xml:space="preserve"> the </w:t>
      </w:r>
      <w:r w:rsidR="003A5305" w:rsidRPr="00E82744">
        <w:rPr>
          <w:rFonts w:ascii="Book Antiqua" w:hAnsi="Book Antiqua"/>
          <w:i/>
          <w:iCs/>
          <w:szCs w:val="24"/>
        </w:rPr>
        <w:t>Crimes (Domestic and Personal Violence) Act 200</w:t>
      </w:r>
      <w:r w:rsidR="003A5305">
        <w:rPr>
          <w:rFonts w:ascii="Book Antiqua" w:hAnsi="Book Antiqua"/>
          <w:i/>
          <w:iCs/>
          <w:szCs w:val="24"/>
        </w:rPr>
        <w:t>7.</w:t>
      </w:r>
      <w:r w:rsidR="003A5305" w:rsidRPr="00E82744">
        <w:rPr>
          <w:rFonts w:ascii="Book Antiqua" w:hAnsi="Book Antiqua"/>
          <w:i/>
          <w:iCs/>
          <w:szCs w:val="24"/>
        </w:rPr>
        <w:t xml:space="preserve"> </w:t>
      </w:r>
      <w:r w:rsidR="001153D7" w:rsidRPr="00E82744">
        <w:rPr>
          <w:rFonts w:ascii="Book Antiqua" w:hAnsi="Book Antiqua"/>
          <w:szCs w:val="24"/>
        </w:rPr>
        <w:t xml:space="preserve">In accordance with its legislative objects, the </w:t>
      </w:r>
      <w:r w:rsidR="003A5305">
        <w:rPr>
          <w:rFonts w:ascii="Book Antiqua" w:hAnsi="Book Antiqua"/>
          <w:szCs w:val="24"/>
        </w:rPr>
        <w:t xml:space="preserve">Act </w:t>
      </w:r>
      <w:r w:rsidR="00EE5C61">
        <w:rPr>
          <w:rFonts w:ascii="Book Antiqua" w:hAnsi="Book Antiqua" w:cs="Arial"/>
          <w:szCs w:val="24"/>
        </w:rPr>
        <w:t>seeks</w:t>
      </w:r>
      <w:r w:rsidR="00583B1F">
        <w:rPr>
          <w:rFonts w:ascii="Book Antiqua" w:hAnsi="Book Antiqua" w:cs="Arial"/>
          <w:szCs w:val="24"/>
        </w:rPr>
        <w:t xml:space="preserve"> </w:t>
      </w:r>
      <w:r w:rsidR="00511C35" w:rsidRPr="00E82744">
        <w:rPr>
          <w:rFonts w:ascii="Book Antiqua" w:hAnsi="Book Antiqua" w:cs="Arial"/>
          <w:szCs w:val="24"/>
        </w:rPr>
        <w:t>‘</w:t>
      </w:r>
      <w:r w:rsidR="003D64A0" w:rsidRPr="00E82744">
        <w:rPr>
          <w:rFonts w:ascii="Book Antiqua" w:hAnsi="Book Antiqua" w:cs="Arial"/>
          <w:szCs w:val="24"/>
        </w:rPr>
        <w:t>to ensure the safety and protection of all persons, including children</w:t>
      </w:r>
      <w:r w:rsidR="00583B1F">
        <w:rPr>
          <w:rFonts w:ascii="Book Antiqua" w:hAnsi="Book Antiqua" w:cs="Arial"/>
          <w:szCs w:val="24"/>
        </w:rPr>
        <w:t>,</w:t>
      </w:r>
      <w:r w:rsidR="003D64A0" w:rsidRPr="00E82744">
        <w:rPr>
          <w:rFonts w:ascii="Book Antiqua" w:hAnsi="Book Antiqua" w:cs="Arial"/>
          <w:szCs w:val="24"/>
        </w:rPr>
        <w:t xml:space="preserve"> who experience or witness domestic violence</w:t>
      </w:r>
      <w:r w:rsidR="00F31ABA" w:rsidRPr="00E82744">
        <w:rPr>
          <w:rFonts w:ascii="Book Antiqua" w:hAnsi="Book Antiqua" w:cs="Arial"/>
          <w:szCs w:val="24"/>
        </w:rPr>
        <w:t>’</w:t>
      </w:r>
      <w:r w:rsidR="00583B1F">
        <w:rPr>
          <w:rFonts w:ascii="Book Antiqua" w:hAnsi="Book Antiqua" w:cs="Arial"/>
          <w:szCs w:val="24"/>
        </w:rPr>
        <w:t>,</w:t>
      </w:r>
      <w:r w:rsidR="003D64A0" w:rsidRPr="00E82744">
        <w:rPr>
          <w:rFonts w:ascii="Book Antiqua" w:hAnsi="Book Antiqua" w:cs="Arial"/>
          <w:szCs w:val="24"/>
        </w:rPr>
        <w:t xml:space="preserve"> </w:t>
      </w:r>
      <w:r w:rsidR="00E71913" w:rsidRPr="00E82744">
        <w:rPr>
          <w:rFonts w:ascii="Book Antiqua" w:hAnsi="Book Antiqua" w:cs="Arial"/>
          <w:szCs w:val="24"/>
        </w:rPr>
        <w:t xml:space="preserve">and </w:t>
      </w:r>
      <w:r w:rsidR="00291D4B">
        <w:rPr>
          <w:rFonts w:ascii="Book Antiqua" w:hAnsi="Book Antiqua" w:cs="Arial"/>
          <w:szCs w:val="24"/>
        </w:rPr>
        <w:t>‘</w:t>
      </w:r>
      <w:r w:rsidR="003D64A0" w:rsidRPr="00E82744">
        <w:rPr>
          <w:rFonts w:ascii="Book Antiqua" w:hAnsi="Book Antiqua" w:cs="Arial"/>
          <w:szCs w:val="24"/>
        </w:rPr>
        <w:t xml:space="preserve">to </w:t>
      </w:r>
      <w:r w:rsidR="00F31ABA" w:rsidRPr="00E82744">
        <w:rPr>
          <w:rFonts w:ascii="Book Antiqua" w:hAnsi="Book Antiqua" w:cs="Arial"/>
          <w:szCs w:val="24"/>
        </w:rPr>
        <w:t>‘</w:t>
      </w:r>
      <w:r w:rsidR="003D64A0" w:rsidRPr="00E82744">
        <w:rPr>
          <w:rFonts w:ascii="Book Antiqua" w:hAnsi="Book Antiqua" w:cs="Arial"/>
          <w:szCs w:val="24"/>
        </w:rPr>
        <w:t>reduce and prevent violence</w:t>
      </w:r>
      <w:r w:rsidR="00291D4B">
        <w:rPr>
          <w:rFonts w:ascii="Book Antiqua" w:hAnsi="Book Antiqua" w:cs="Arial"/>
          <w:szCs w:val="24"/>
        </w:rPr>
        <w:t xml:space="preserve"> …</w:t>
      </w:r>
      <w:r w:rsidR="003D64A0" w:rsidRPr="00E82744">
        <w:rPr>
          <w:rFonts w:ascii="Book Antiqua" w:hAnsi="Book Antiqua" w:cs="Arial"/>
          <w:szCs w:val="24"/>
        </w:rPr>
        <w:t xml:space="preserve"> where a domestic relationship exists</w:t>
      </w:r>
      <w:r w:rsidR="00F31ABA" w:rsidRPr="00E82744">
        <w:rPr>
          <w:rFonts w:ascii="Book Antiqua" w:hAnsi="Book Antiqua" w:cs="Arial"/>
          <w:szCs w:val="24"/>
        </w:rPr>
        <w:t>’</w:t>
      </w:r>
      <w:r w:rsidR="003D64A0" w:rsidRPr="00E82744">
        <w:rPr>
          <w:rFonts w:ascii="Book Antiqua" w:hAnsi="Book Antiqua" w:cs="Arial"/>
          <w:szCs w:val="24"/>
        </w:rPr>
        <w:t>.</w:t>
      </w:r>
      <w:r w:rsidR="00291D4B">
        <w:rPr>
          <w:rStyle w:val="FootnoteReference"/>
          <w:rFonts w:ascii="Book Antiqua" w:hAnsi="Book Antiqua" w:cs="Arial"/>
          <w:szCs w:val="24"/>
        </w:rPr>
        <w:footnoteReference w:id="73"/>
      </w:r>
      <w:r w:rsidR="003D64A0" w:rsidRPr="00E82744">
        <w:rPr>
          <w:rFonts w:ascii="Book Antiqua" w:hAnsi="Book Antiqua" w:cs="Arial"/>
          <w:szCs w:val="24"/>
        </w:rPr>
        <w:t xml:space="preserve">  It is </w:t>
      </w:r>
      <w:r w:rsidR="00E71913" w:rsidRPr="00E82744">
        <w:rPr>
          <w:rFonts w:ascii="Book Antiqua" w:hAnsi="Book Antiqua" w:cs="Arial"/>
          <w:szCs w:val="24"/>
        </w:rPr>
        <w:t xml:space="preserve">also </w:t>
      </w:r>
      <w:r w:rsidR="003D64A0" w:rsidRPr="00E82744">
        <w:rPr>
          <w:rFonts w:ascii="Book Antiqua" w:hAnsi="Book Antiqua" w:cs="Arial"/>
          <w:szCs w:val="24"/>
        </w:rPr>
        <w:t xml:space="preserve">an object of the Act to enact provisions that are consistent with the </w:t>
      </w:r>
      <w:r w:rsidR="003D64A0" w:rsidRPr="00E82744">
        <w:rPr>
          <w:rFonts w:ascii="Book Antiqua" w:hAnsi="Book Antiqua" w:cs="Arial"/>
          <w:i/>
          <w:iCs/>
          <w:szCs w:val="24"/>
        </w:rPr>
        <w:t>U</w:t>
      </w:r>
      <w:r w:rsidR="004F03BB" w:rsidRPr="00E82744">
        <w:rPr>
          <w:rFonts w:ascii="Book Antiqua" w:hAnsi="Book Antiqua" w:cs="Arial"/>
          <w:i/>
          <w:iCs/>
          <w:szCs w:val="24"/>
        </w:rPr>
        <w:t xml:space="preserve">nited </w:t>
      </w:r>
      <w:r w:rsidR="003D64A0" w:rsidRPr="00E82744">
        <w:rPr>
          <w:rFonts w:ascii="Book Antiqua" w:hAnsi="Book Antiqua" w:cs="Arial"/>
          <w:i/>
          <w:iCs/>
          <w:szCs w:val="24"/>
        </w:rPr>
        <w:t>N</w:t>
      </w:r>
      <w:r w:rsidR="004F03BB" w:rsidRPr="00E82744">
        <w:rPr>
          <w:rFonts w:ascii="Book Antiqua" w:hAnsi="Book Antiqua" w:cs="Arial"/>
          <w:i/>
          <w:iCs/>
          <w:szCs w:val="24"/>
        </w:rPr>
        <w:t>ations</w:t>
      </w:r>
      <w:r w:rsidR="003D64A0" w:rsidRPr="00E82744">
        <w:rPr>
          <w:rFonts w:ascii="Book Antiqua" w:hAnsi="Book Antiqua" w:cs="Arial"/>
          <w:i/>
          <w:iCs/>
          <w:szCs w:val="24"/>
        </w:rPr>
        <w:t xml:space="preserve"> Convention </w:t>
      </w:r>
      <w:r w:rsidR="003D64A0" w:rsidRPr="00E82744">
        <w:rPr>
          <w:rFonts w:ascii="Book Antiqua" w:hAnsi="Book Antiqua" w:cs="Arial"/>
          <w:i/>
          <w:iCs/>
          <w:szCs w:val="24"/>
        </w:rPr>
        <w:lastRenderedPageBreak/>
        <w:t>on the Rights of the Child</w:t>
      </w:r>
      <w:r w:rsidR="003D64A0" w:rsidRPr="00E82744">
        <w:rPr>
          <w:rFonts w:ascii="Book Antiqua" w:hAnsi="Book Antiqua" w:cs="Arial"/>
          <w:szCs w:val="24"/>
        </w:rPr>
        <w:t xml:space="preserve"> and the </w:t>
      </w:r>
      <w:r w:rsidR="003D64A0" w:rsidRPr="00E82744">
        <w:rPr>
          <w:rFonts w:ascii="Book Antiqua" w:hAnsi="Book Antiqua" w:cs="Arial"/>
          <w:i/>
          <w:iCs/>
          <w:szCs w:val="24"/>
        </w:rPr>
        <w:t xml:space="preserve">Declaration on the Elimination of Violence against </w:t>
      </w:r>
      <w:r w:rsidR="00F31ABA" w:rsidRPr="00E82744">
        <w:rPr>
          <w:rFonts w:ascii="Book Antiqua" w:hAnsi="Book Antiqua" w:cs="Arial"/>
          <w:i/>
          <w:iCs/>
          <w:szCs w:val="24"/>
        </w:rPr>
        <w:t>W</w:t>
      </w:r>
      <w:r w:rsidR="003D64A0" w:rsidRPr="00E82744">
        <w:rPr>
          <w:rFonts w:ascii="Book Antiqua" w:hAnsi="Book Antiqua" w:cs="Arial"/>
          <w:i/>
          <w:iCs/>
          <w:szCs w:val="24"/>
        </w:rPr>
        <w:t>omen</w:t>
      </w:r>
      <w:r w:rsidR="003D64A0" w:rsidRPr="00E82744">
        <w:rPr>
          <w:rFonts w:ascii="Book Antiqua" w:hAnsi="Book Antiqua" w:cs="Arial"/>
          <w:szCs w:val="24"/>
        </w:rPr>
        <w:t>.</w:t>
      </w:r>
      <w:r w:rsidR="003D64A0" w:rsidRPr="00E82744">
        <w:rPr>
          <w:rStyle w:val="FootnoteReference"/>
          <w:rFonts w:ascii="Book Antiqua" w:hAnsi="Book Antiqua" w:cs="Arial"/>
          <w:szCs w:val="24"/>
        </w:rPr>
        <w:footnoteReference w:id="74"/>
      </w:r>
      <w:r w:rsidR="003D64A0" w:rsidRPr="00E82744">
        <w:rPr>
          <w:rFonts w:ascii="Book Antiqua" w:hAnsi="Book Antiqua" w:cs="Arial"/>
          <w:szCs w:val="24"/>
        </w:rPr>
        <w:t xml:space="preserve"> </w:t>
      </w:r>
    </w:p>
    <w:p w14:paraId="35EAA198" w14:textId="27C204D1" w:rsidR="003D64A0" w:rsidRPr="00E82744" w:rsidRDefault="0008634E" w:rsidP="007B7CF0">
      <w:pPr>
        <w:pStyle w:val="NumParra"/>
        <w:jc w:val="both"/>
        <w:rPr>
          <w:rFonts w:ascii="Book Antiqua" w:hAnsi="Book Antiqua" w:cs="Arial"/>
          <w:szCs w:val="24"/>
        </w:rPr>
      </w:pPr>
      <w:r>
        <w:rPr>
          <w:rFonts w:ascii="Book Antiqua" w:hAnsi="Book Antiqua" w:cs="Arial"/>
          <w:szCs w:val="24"/>
        </w:rPr>
        <w:t xml:space="preserve">Notwithstanding the stated objects of the legislation, </w:t>
      </w:r>
      <w:r w:rsidR="00404629">
        <w:rPr>
          <w:rFonts w:ascii="Book Antiqua" w:hAnsi="Book Antiqua" w:cs="Arial"/>
          <w:szCs w:val="24"/>
        </w:rPr>
        <w:t>as the statistics reveal, the prevalence of domestic violence is disturbing</w:t>
      </w:r>
      <w:r w:rsidR="00FA7F3E">
        <w:rPr>
          <w:rFonts w:ascii="Book Antiqua" w:hAnsi="Book Antiqua" w:cs="Arial"/>
          <w:szCs w:val="24"/>
        </w:rPr>
        <w:t>,</w:t>
      </w:r>
      <w:r w:rsidR="00404629">
        <w:rPr>
          <w:rFonts w:ascii="Book Antiqua" w:hAnsi="Book Antiqua" w:cs="Arial"/>
          <w:szCs w:val="24"/>
        </w:rPr>
        <w:t xml:space="preserve"> and </w:t>
      </w:r>
      <w:r w:rsidR="00FA51EE">
        <w:rPr>
          <w:rFonts w:ascii="Book Antiqua" w:hAnsi="Book Antiqua" w:cs="Arial"/>
          <w:szCs w:val="24"/>
        </w:rPr>
        <w:t>it is well known that its</w:t>
      </w:r>
      <w:r w:rsidR="00EE5C61">
        <w:rPr>
          <w:rFonts w:ascii="Book Antiqua" w:hAnsi="Book Antiqua" w:cs="Arial"/>
          <w:szCs w:val="24"/>
        </w:rPr>
        <w:t xml:space="preserve"> </w:t>
      </w:r>
      <w:r w:rsidR="003D64A0" w:rsidRPr="00E82744">
        <w:rPr>
          <w:rFonts w:ascii="Book Antiqua" w:hAnsi="Book Antiqua" w:cs="Arial"/>
          <w:szCs w:val="24"/>
        </w:rPr>
        <w:t xml:space="preserve">societal impact </w:t>
      </w:r>
      <w:r w:rsidR="00FA7F3E">
        <w:rPr>
          <w:rFonts w:ascii="Book Antiqua" w:hAnsi="Book Antiqua" w:cs="Arial"/>
          <w:szCs w:val="24"/>
        </w:rPr>
        <w:t>is</w:t>
      </w:r>
      <w:r w:rsidR="00FA51EE">
        <w:rPr>
          <w:rFonts w:ascii="Book Antiqua" w:hAnsi="Book Antiqua" w:cs="Arial"/>
          <w:szCs w:val="24"/>
        </w:rPr>
        <w:t xml:space="preserve"> huge and often devasting</w:t>
      </w:r>
      <w:r w:rsidR="003D64A0" w:rsidRPr="00E82744">
        <w:rPr>
          <w:rFonts w:ascii="Book Antiqua" w:hAnsi="Book Antiqua" w:cs="Arial"/>
          <w:szCs w:val="24"/>
        </w:rPr>
        <w:t xml:space="preserve">. </w:t>
      </w:r>
      <w:r w:rsidR="00E71913" w:rsidRPr="00E82744">
        <w:rPr>
          <w:rFonts w:ascii="Book Antiqua" w:hAnsi="Book Antiqua" w:cs="Arial"/>
          <w:szCs w:val="24"/>
        </w:rPr>
        <w:t xml:space="preserve"> </w:t>
      </w:r>
      <w:r w:rsidR="003D64A0" w:rsidRPr="00E82744">
        <w:rPr>
          <w:rFonts w:ascii="Book Antiqua" w:hAnsi="Book Antiqua" w:cs="Arial"/>
          <w:szCs w:val="24"/>
        </w:rPr>
        <w:t xml:space="preserve">In </w:t>
      </w:r>
      <w:r w:rsidR="003D64A0" w:rsidRPr="00E82744">
        <w:rPr>
          <w:rFonts w:ascii="Book Antiqua" w:hAnsi="Book Antiqua" w:cs="Arial"/>
          <w:i/>
          <w:iCs/>
          <w:szCs w:val="24"/>
        </w:rPr>
        <w:t>Munda v Western Australia</w:t>
      </w:r>
      <w:r w:rsidR="00257E40">
        <w:rPr>
          <w:rFonts w:ascii="Book Antiqua" w:hAnsi="Book Antiqua" w:cs="Arial"/>
          <w:i/>
          <w:iCs/>
          <w:szCs w:val="24"/>
        </w:rPr>
        <w:t>,</w:t>
      </w:r>
      <w:r w:rsidR="003D64A0" w:rsidRPr="00E82744">
        <w:rPr>
          <w:rStyle w:val="FootnoteReference"/>
          <w:rFonts w:ascii="Book Antiqua" w:hAnsi="Book Antiqua" w:cs="Arial"/>
          <w:szCs w:val="24"/>
        </w:rPr>
        <w:footnoteReference w:id="75"/>
      </w:r>
      <w:r w:rsidR="003D64A0" w:rsidRPr="00E82744">
        <w:rPr>
          <w:rFonts w:ascii="Book Antiqua" w:hAnsi="Book Antiqua" w:cs="Arial"/>
          <w:i/>
          <w:iCs/>
          <w:szCs w:val="24"/>
        </w:rPr>
        <w:t xml:space="preserve"> </w:t>
      </w:r>
      <w:r w:rsidR="003D64A0" w:rsidRPr="00E82744">
        <w:rPr>
          <w:rFonts w:ascii="Book Antiqua" w:hAnsi="Book Antiqua" w:cs="Arial"/>
          <w:szCs w:val="24"/>
        </w:rPr>
        <w:t>the High Court</w:t>
      </w:r>
      <w:r w:rsidR="00FA51EE">
        <w:rPr>
          <w:rFonts w:ascii="Book Antiqua" w:hAnsi="Book Antiqua" w:cs="Arial"/>
          <w:szCs w:val="24"/>
        </w:rPr>
        <w:t xml:space="preserve">, </w:t>
      </w:r>
      <w:r w:rsidR="00FA51EE" w:rsidRPr="00E82744">
        <w:rPr>
          <w:rFonts w:ascii="Book Antiqua" w:hAnsi="Book Antiqua" w:cs="Arial"/>
          <w:szCs w:val="24"/>
        </w:rPr>
        <w:t>in the context of a violent domestic murder</w:t>
      </w:r>
      <w:r w:rsidR="003D64A0" w:rsidRPr="00E82744">
        <w:rPr>
          <w:rFonts w:ascii="Book Antiqua" w:hAnsi="Book Antiqua" w:cs="Arial"/>
          <w:szCs w:val="24"/>
        </w:rPr>
        <w:t xml:space="preserve"> stated: </w:t>
      </w:r>
    </w:p>
    <w:p w14:paraId="05461DFD" w14:textId="7B74B88A" w:rsidR="003D64A0" w:rsidRPr="00E82744" w:rsidRDefault="004F03BB" w:rsidP="007B7CF0">
      <w:pPr>
        <w:pStyle w:val="NumParra"/>
        <w:numPr>
          <w:ilvl w:val="0"/>
          <w:numId w:val="0"/>
        </w:numPr>
        <w:spacing w:line="240" w:lineRule="auto"/>
        <w:ind w:left="1440"/>
        <w:jc w:val="both"/>
        <w:rPr>
          <w:rFonts w:ascii="Book Antiqua" w:hAnsi="Book Antiqua" w:cs="Arial"/>
          <w:szCs w:val="24"/>
        </w:rPr>
      </w:pPr>
      <w:r w:rsidRPr="00E82744">
        <w:rPr>
          <w:rFonts w:ascii="Book Antiqua" w:hAnsi="Book Antiqua" w:cs="Arial"/>
          <w:szCs w:val="24"/>
        </w:rPr>
        <w:t>‘</w:t>
      </w:r>
      <w:r w:rsidR="003D64A0" w:rsidRPr="00E82744">
        <w:rPr>
          <w:rFonts w:ascii="Book Antiqua" w:hAnsi="Book Antiqua" w:cs="Arial"/>
          <w:szCs w:val="24"/>
        </w:rPr>
        <w:t>A just sentence must accord due recognition to the human dignity of the victim of domestic violence and the legitimate interest of the general community in the denunciation and punishment of a brutal, alcohol-fuelled destruction of a woman by her partner. A failure on the part of the state to mete out a just punishment of violent offending may be seen as a failure by the state to vindicate the human dignity of the victim; and to impose a lesser punishment by reason of the identity of the victim is to create a group of second-class citizens, a state of affairs entirely at odds with the fundamental idea of equality before the law.</w:t>
      </w:r>
      <w:r w:rsidRPr="00E82744">
        <w:rPr>
          <w:rFonts w:ascii="Book Antiqua" w:hAnsi="Book Antiqua" w:cs="Arial"/>
          <w:szCs w:val="24"/>
        </w:rPr>
        <w:t>’</w:t>
      </w:r>
      <w:r w:rsidRPr="00E82744">
        <w:rPr>
          <w:rStyle w:val="FootnoteReference"/>
          <w:rFonts w:ascii="Book Antiqua" w:hAnsi="Book Antiqua" w:cs="Arial"/>
          <w:szCs w:val="24"/>
        </w:rPr>
        <w:footnoteReference w:id="76"/>
      </w:r>
      <w:r w:rsidR="003D64A0" w:rsidRPr="00E82744">
        <w:rPr>
          <w:rFonts w:ascii="Book Antiqua" w:hAnsi="Book Antiqua" w:cs="Arial"/>
          <w:szCs w:val="24"/>
        </w:rPr>
        <w:t xml:space="preserve"> </w:t>
      </w:r>
    </w:p>
    <w:p w14:paraId="1C0E220D" w14:textId="3E675917" w:rsidR="00C04F33" w:rsidRPr="00EE5C61" w:rsidRDefault="003D64A0" w:rsidP="00EE5C61">
      <w:pPr>
        <w:pStyle w:val="NumParra"/>
        <w:jc w:val="both"/>
        <w:rPr>
          <w:rFonts w:ascii="Book Antiqua" w:hAnsi="Book Antiqua"/>
        </w:rPr>
      </w:pPr>
      <w:r w:rsidRPr="00E82744">
        <w:rPr>
          <w:rFonts w:ascii="Book Antiqua" w:hAnsi="Book Antiqua"/>
        </w:rPr>
        <w:t>These observations have been taken up in other decisions,</w:t>
      </w:r>
      <w:r w:rsidRPr="00E82744">
        <w:rPr>
          <w:rStyle w:val="FootnoteReference"/>
          <w:rFonts w:ascii="Book Antiqua" w:hAnsi="Book Antiqua" w:cs="Arial"/>
          <w:szCs w:val="24"/>
        </w:rPr>
        <w:footnoteReference w:id="77"/>
      </w:r>
      <w:r w:rsidRPr="00E82744">
        <w:rPr>
          <w:rFonts w:ascii="Book Antiqua" w:hAnsi="Book Antiqua"/>
        </w:rPr>
        <w:t xml:space="preserve"> including observations as to </w:t>
      </w:r>
      <w:r w:rsidR="00511C35" w:rsidRPr="00E82744">
        <w:rPr>
          <w:rFonts w:ascii="Book Antiqua" w:hAnsi="Book Antiqua"/>
        </w:rPr>
        <w:t>‘</w:t>
      </w:r>
      <w:r w:rsidRPr="00E82744">
        <w:rPr>
          <w:rFonts w:ascii="Book Antiqua" w:hAnsi="Book Antiqua"/>
        </w:rPr>
        <w:t>the need to maintain public confidence in the administration of justice</w:t>
      </w:r>
      <w:r w:rsidR="00511C35" w:rsidRPr="00E82744">
        <w:rPr>
          <w:rFonts w:ascii="Book Antiqua" w:hAnsi="Book Antiqua"/>
        </w:rPr>
        <w:t>’</w:t>
      </w:r>
      <w:r w:rsidR="00A047A3">
        <w:rPr>
          <w:rFonts w:ascii="Book Antiqua" w:hAnsi="Book Antiqua"/>
        </w:rPr>
        <w:t xml:space="preserve"> if domestic violence is not treated seriously within the legal system</w:t>
      </w:r>
      <w:r w:rsidR="00DC75AA">
        <w:rPr>
          <w:rFonts w:ascii="Book Antiqua" w:hAnsi="Book Antiqua"/>
        </w:rPr>
        <w:t>.</w:t>
      </w:r>
      <w:r w:rsidRPr="00E82744">
        <w:rPr>
          <w:rStyle w:val="FootnoteReference"/>
          <w:rFonts w:ascii="Book Antiqua" w:hAnsi="Book Antiqua" w:cs="Arial"/>
          <w:szCs w:val="24"/>
        </w:rPr>
        <w:footnoteReference w:id="78"/>
      </w:r>
      <w:r w:rsidR="00EE5C61">
        <w:rPr>
          <w:rFonts w:ascii="Book Antiqua" w:hAnsi="Book Antiqua"/>
        </w:rPr>
        <w:t xml:space="preserve"> </w:t>
      </w:r>
      <w:r w:rsidR="00E32459">
        <w:rPr>
          <w:rFonts w:ascii="Book Antiqua" w:hAnsi="Book Antiqua"/>
        </w:rPr>
        <w:t xml:space="preserve"> </w:t>
      </w:r>
      <w:r w:rsidR="00A0730B">
        <w:rPr>
          <w:rFonts w:ascii="Book Antiqua" w:hAnsi="Book Antiqua"/>
        </w:rPr>
        <w:t xml:space="preserve">In this regard, one </w:t>
      </w:r>
      <w:r w:rsidR="005A339B">
        <w:rPr>
          <w:rFonts w:ascii="Book Antiqua" w:hAnsi="Book Antiqua"/>
        </w:rPr>
        <w:t xml:space="preserve">hears </w:t>
      </w:r>
      <w:r w:rsidR="00255889" w:rsidRPr="00E82744">
        <w:rPr>
          <w:rFonts w:ascii="Book Antiqua" w:hAnsi="Book Antiqua"/>
        </w:rPr>
        <w:t>anecdotal</w:t>
      </w:r>
      <w:r w:rsidR="00A0730B">
        <w:rPr>
          <w:rFonts w:ascii="Book Antiqua" w:hAnsi="Book Antiqua"/>
        </w:rPr>
        <w:t xml:space="preserve">ly that lower courts </w:t>
      </w:r>
      <w:r w:rsidR="00F70B6E">
        <w:rPr>
          <w:rFonts w:ascii="Book Antiqua" w:hAnsi="Book Antiqua"/>
        </w:rPr>
        <w:t xml:space="preserve">do not always endorse </w:t>
      </w:r>
      <w:r w:rsidR="00592BC6" w:rsidRPr="00E82744">
        <w:rPr>
          <w:rFonts w:ascii="Book Antiqua" w:hAnsi="Book Antiqua"/>
        </w:rPr>
        <w:t>the objects of the legislation</w:t>
      </w:r>
      <w:r w:rsidR="00EE5C61">
        <w:rPr>
          <w:rFonts w:ascii="Book Antiqua" w:hAnsi="Book Antiqua"/>
        </w:rPr>
        <w:t xml:space="preserve"> </w:t>
      </w:r>
      <w:r w:rsidR="00F70B6E">
        <w:rPr>
          <w:rFonts w:ascii="Book Antiqua" w:hAnsi="Book Antiqua"/>
        </w:rPr>
        <w:t>in the cases before them.</w:t>
      </w:r>
      <w:r w:rsidR="00592BC6" w:rsidRPr="00E82744">
        <w:rPr>
          <w:rFonts w:ascii="Book Antiqua" w:hAnsi="Book Antiqua"/>
        </w:rPr>
        <w:t xml:space="preserve">  </w:t>
      </w:r>
      <w:r w:rsidR="00F70B6E">
        <w:rPr>
          <w:rFonts w:ascii="Book Antiqua" w:hAnsi="Book Antiqua"/>
        </w:rPr>
        <w:t>For example, practitioners speak</w:t>
      </w:r>
      <w:r w:rsidR="00EE5C61">
        <w:rPr>
          <w:rFonts w:ascii="Book Antiqua" w:hAnsi="Book Antiqua"/>
        </w:rPr>
        <w:t xml:space="preserve"> </w:t>
      </w:r>
      <w:r w:rsidR="00592BC6" w:rsidRPr="00E82744">
        <w:rPr>
          <w:rFonts w:ascii="Book Antiqua" w:hAnsi="Book Antiqua"/>
        </w:rPr>
        <w:t>of magistrates who refuse to order that a man leave the home because, quoting the magistrate: ‘</w:t>
      </w:r>
      <w:r w:rsidR="008A6E4F">
        <w:rPr>
          <w:rFonts w:ascii="Book Antiqua" w:hAnsi="Book Antiqua"/>
        </w:rPr>
        <w:t xml:space="preserve">A </w:t>
      </w:r>
      <w:r w:rsidR="00592BC6" w:rsidRPr="00E82744">
        <w:rPr>
          <w:rFonts w:ascii="Book Antiqua" w:hAnsi="Book Antiqua"/>
        </w:rPr>
        <w:t>man’s home is his c</w:t>
      </w:r>
      <w:r w:rsidR="00517EEA" w:rsidRPr="00E82744">
        <w:rPr>
          <w:rFonts w:ascii="Book Antiqua" w:hAnsi="Book Antiqua"/>
        </w:rPr>
        <w:t>as</w:t>
      </w:r>
      <w:r w:rsidR="00592BC6" w:rsidRPr="00E82744">
        <w:rPr>
          <w:rFonts w:ascii="Book Antiqua" w:hAnsi="Book Antiqua"/>
        </w:rPr>
        <w:t xml:space="preserve">tle’. </w:t>
      </w:r>
      <w:r w:rsidR="00F70B6E">
        <w:rPr>
          <w:rFonts w:ascii="Book Antiqua" w:hAnsi="Book Antiqua"/>
        </w:rPr>
        <w:t xml:space="preserve"> If that </w:t>
      </w:r>
      <w:r w:rsidR="00257145">
        <w:rPr>
          <w:rFonts w:ascii="Book Antiqua" w:hAnsi="Book Antiqua" w:cs="Arial"/>
          <w:szCs w:val="24"/>
        </w:rPr>
        <w:t xml:space="preserve">is the </w:t>
      </w:r>
      <w:r w:rsidR="00517EEA" w:rsidRPr="00E82744">
        <w:rPr>
          <w:rFonts w:ascii="Book Antiqua" w:hAnsi="Book Antiqua" w:cs="Arial"/>
          <w:szCs w:val="24"/>
        </w:rPr>
        <w:t>perspective</w:t>
      </w:r>
      <w:r w:rsidR="00257145">
        <w:rPr>
          <w:rFonts w:ascii="Book Antiqua" w:hAnsi="Book Antiqua" w:cs="Arial"/>
          <w:szCs w:val="24"/>
        </w:rPr>
        <w:t xml:space="preserve"> of any judicial officer</w:t>
      </w:r>
      <w:r w:rsidR="00F42FF6">
        <w:rPr>
          <w:rFonts w:ascii="Book Antiqua" w:hAnsi="Book Antiqua" w:cs="Arial"/>
          <w:szCs w:val="24"/>
        </w:rPr>
        <w:t>,</w:t>
      </w:r>
      <w:r w:rsidR="00517EEA" w:rsidRPr="00E82744">
        <w:rPr>
          <w:rFonts w:ascii="Book Antiqua" w:hAnsi="Book Antiqua" w:cs="Arial"/>
          <w:szCs w:val="24"/>
        </w:rPr>
        <w:t xml:space="preserve"> </w:t>
      </w:r>
      <w:r w:rsidR="00267841">
        <w:rPr>
          <w:rFonts w:ascii="Book Antiqua" w:hAnsi="Book Antiqua" w:cs="Arial"/>
          <w:szCs w:val="24"/>
        </w:rPr>
        <w:t>perhaps one should</w:t>
      </w:r>
      <w:r w:rsidR="00EE5C61">
        <w:rPr>
          <w:rFonts w:ascii="Book Antiqua" w:hAnsi="Book Antiqua" w:cs="Arial"/>
          <w:szCs w:val="24"/>
        </w:rPr>
        <w:t xml:space="preserve"> ask</w:t>
      </w:r>
      <w:r w:rsidR="00267841">
        <w:rPr>
          <w:rFonts w:ascii="Book Antiqua" w:hAnsi="Book Antiqua" w:cs="Arial"/>
          <w:szCs w:val="24"/>
        </w:rPr>
        <w:t xml:space="preserve"> </w:t>
      </w:r>
      <w:r w:rsidR="00517EEA" w:rsidRPr="00E82744">
        <w:rPr>
          <w:rFonts w:ascii="Book Antiqua" w:hAnsi="Book Antiqua" w:cs="Arial"/>
          <w:szCs w:val="24"/>
        </w:rPr>
        <w:t xml:space="preserve">how will complaints of ‘coercive control’ fare?  </w:t>
      </w:r>
    </w:p>
    <w:p w14:paraId="18DFDBE2" w14:textId="28AE6E3C" w:rsidR="00805013" w:rsidRPr="00EE5C61" w:rsidRDefault="00517EEA" w:rsidP="007B7CF0">
      <w:pPr>
        <w:pStyle w:val="NumParra"/>
        <w:numPr>
          <w:ilvl w:val="0"/>
          <w:numId w:val="0"/>
        </w:numPr>
        <w:jc w:val="both"/>
        <w:rPr>
          <w:rFonts w:ascii="Book Antiqua" w:hAnsi="Book Antiqua" w:cs="Arial"/>
          <w:i/>
          <w:iCs/>
          <w:szCs w:val="24"/>
        </w:rPr>
      </w:pPr>
      <w:r w:rsidRPr="00D47EEA">
        <w:rPr>
          <w:rFonts w:ascii="Book Antiqua" w:hAnsi="Book Antiqua" w:cs="Arial"/>
          <w:i/>
          <w:iCs/>
          <w:szCs w:val="24"/>
        </w:rPr>
        <w:t>C</w:t>
      </w:r>
      <w:r w:rsidR="00805013" w:rsidRPr="00D47EEA">
        <w:rPr>
          <w:rFonts w:ascii="Book Antiqua" w:hAnsi="Book Antiqua" w:cs="Arial"/>
          <w:i/>
          <w:iCs/>
          <w:szCs w:val="24"/>
        </w:rPr>
        <w:t xml:space="preserve">oercive </w:t>
      </w:r>
      <w:r w:rsidRPr="00D47EEA">
        <w:rPr>
          <w:rFonts w:ascii="Book Antiqua" w:hAnsi="Book Antiqua" w:cs="Arial"/>
          <w:i/>
          <w:iCs/>
          <w:szCs w:val="24"/>
        </w:rPr>
        <w:t>C</w:t>
      </w:r>
      <w:r w:rsidR="00805013" w:rsidRPr="00D47EEA">
        <w:rPr>
          <w:rFonts w:ascii="Book Antiqua" w:hAnsi="Book Antiqua" w:cs="Arial"/>
          <w:i/>
          <w:iCs/>
          <w:szCs w:val="24"/>
        </w:rPr>
        <w:t>ontrol</w:t>
      </w:r>
    </w:p>
    <w:p w14:paraId="30727B02" w14:textId="0D9B1D47" w:rsidR="00F77E2F" w:rsidRPr="00EE5C61" w:rsidRDefault="00BC3546" w:rsidP="00EE5C61">
      <w:pPr>
        <w:pStyle w:val="NumParra"/>
        <w:jc w:val="both"/>
        <w:rPr>
          <w:rFonts w:ascii="Book Antiqua" w:hAnsi="Book Antiqua" w:cs="Arial"/>
          <w:szCs w:val="24"/>
        </w:rPr>
      </w:pPr>
      <w:r w:rsidRPr="00EE5C61">
        <w:rPr>
          <w:rFonts w:ascii="Book Antiqua" w:hAnsi="Book Antiqua"/>
        </w:rPr>
        <w:t>Domestic abuse</w:t>
      </w:r>
      <w:r w:rsidR="00EE5C61">
        <w:rPr>
          <w:rFonts w:ascii="Book Antiqua" w:hAnsi="Book Antiqua"/>
        </w:rPr>
        <w:t xml:space="preserve">, </w:t>
      </w:r>
      <w:r w:rsidRPr="00EE5C61">
        <w:rPr>
          <w:rFonts w:ascii="Book Antiqua" w:hAnsi="Book Antiqua"/>
        </w:rPr>
        <w:t>frequently, if not usually</w:t>
      </w:r>
      <w:r w:rsidR="00EE5C61">
        <w:rPr>
          <w:rFonts w:ascii="Book Antiqua" w:hAnsi="Book Antiqua"/>
        </w:rPr>
        <w:t>, is</w:t>
      </w:r>
      <w:r w:rsidRPr="00EE5C61">
        <w:rPr>
          <w:rFonts w:ascii="Book Antiqua" w:hAnsi="Book Antiqua"/>
        </w:rPr>
        <w:t xml:space="preserve"> spoken of in terms of </w:t>
      </w:r>
      <w:r w:rsidR="00A24C18" w:rsidRPr="00EE5C61">
        <w:rPr>
          <w:rFonts w:ascii="Book Antiqua" w:hAnsi="Book Antiqua"/>
        </w:rPr>
        <w:t>‘power’ and ‘control</w:t>
      </w:r>
      <w:r w:rsidR="0010625B" w:rsidRPr="00EE5C61">
        <w:rPr>
          <w:rFonts w:ascii="Book Antiqua" w:hAnsi="Book Antiqua"/>
        </w:rPr>
        <w:t>.</w:t>
      </w:r>
      <w:r w:rsidR="00A24C18" w:rsidRPr="00EE5C61">
        <w:rPr>
          <w:rFonts w:ascii="Book Antiqua" w:hAnsi="Book Antiqua"/>
        </w:rPr>
        <w:t xml:space="preserve">’  This was evidenced in the </w:t>
      </w:r>
      <w:r w:rsidR="00982478" w:rsidRPr="00EE5C61">
        <w:rPr>
          <w:rFonts w:ascii="Book Antiqua" w:hAnsi="Book Antiqua"/>
        </w:rPr>
        <w:t>2016</w:t>
      </w:r>
      <w:r w:rsidR="00EE5C61">
        <w:rPr>
          <w:rFonts w:ascii="Book Antiqua" w:hAnsi="Book Antiqua"/>
        </w:rPr>
        <w:t xml:space="preserve"> </w:t>
      </w:r>
      <w:r w:rsidR="003D64A0" w:rsidRPr="00EE5C61">
        <w:rPr>
          <w:rFonts w:ascii="Book Antiqua" w:hAnsi="Book Antiqua"/>
        </w:rPr>
        <w:t xml:space="preserve">Victorian Royal Commission into </w:t>
      </w:r>
      <w:r w:rsidR="003D64A0" w:rsidRPr="00EE5C61">
        <w:rPr>
          <w:rFonts w:ascii="Book Antiqua" w:hAnsi="Book Antiqua"/>
        </w:rPr>
        <w:lastRenderedPageBreak/>
        <w:t>Family Violence</w:t>
      </w:r>
      <w:r w:rsidR="00A24C18" w:rsidRPr="00EE5C61">
        <w:rPr>
          <w:rFonts w:ascii="Book Antiqua" w:hAnsi="Book Antiqua"/>
        </w:rPr>
        <w:t>, which</w:t>
      </w:r>
      <w:r w:rsidR="003D64A0" w:rsidRPr="00EE5C61">
        <w:rPr>
          <w:rFonts w:ascii="Book Antiqua" w:hAnsi="Book Antiqua"/>
        </w:rPr>
        <w:t xml:space="preserve"> reported that the hundreds of submission</w:t>
      </w:r>
      <w:r w:rsidR="00722419" w:rsidRPr="00EE5C61">
        <w:rPr>
          <w:rFonts w:ascii="Book Antiqua" w:hAnsi="Book Antiqua"/>
        </w:rPr>
        <w:t>s</w:t>
      </w:r>
      <w:r w:rsidR="003D64A0" w:rsidRPr="00EE5C61">
        <w:rPr>
          <w:rFonts w:ascii="Book Antiqua" w:hAnsi="Book Antiqua"/>
        </w:rPr>
        <w:t xml:space="preserve"> it received had a common theme: </w:t>
      </w:r>
      <w:r w:rsidR="00511C35" w:rsidRPr="00EE5C61">
        <w:rPr>
          <w:rFonts w:ascii="Book Antiqua" w:hAnsi="Book Antiqua"/>
        </w:rPr>
        <w:t>‘</w:t>
      </w:r>
      <w:r w:rsidR="003D64A0" w:rsidRPr="00EE5C61">
        <w:rPr>
          <w:rFonts w:ascii="Book Antiqua" w:hAnsi="Book Antiqua"/>
        </w:rPr>
        <w:t>that [domestic] violence is a tool used to gain control over [the other person]</w:t>
      </w:r>
      <w:r w:rsidR="00F31ABA" w:rsidRPr="00EE5C61">
        <w:rPr>
          <w:rFonts w:ascii="Book Antiqua" w:hAnsi="Book Antiqua"/>
        </w:rPr>
        <w:t>’</w:t>
      </w:r>
      <w:r w:rsidR="003D64A0" w:rsidRPr="00EE5C61">
        <w:rPr>
          <w:rFonts w:ascii="Book Antiqua" w:hAnsi="Book Antiqua"/>
        </w:rPr>
        <w:t>.</w:t>
      </w:r>
      <w:r w:rsidR="003D64A0" w:rsidRPr="00EE5C61">
        <w:rPr>
          <w:rFonts w:ascii="Book Antiqua" w:hAnsi="Book Antiqua"/>
          <w:vertAlign w:val="superscript"/>
        </w:rPr>
        <w:footnoteReference w:id="79"/>
      </w:r>
      <w:r w:rsidR="00DC1BD2" w:rsidRPr="00EE5C61">
        <w:rPr>
          <w:rFonts w:ascii="Book Antiqua" w:hAnsi="Book Antiqua"/>
        </w:rPr>
        <w:t xml:space="preserve"> </w:t>
      </w:r>
      <w:r w:rsidR="0010625B" w:rsidRPr="00EE5C61">
        <w:rPr>
          <w:rFonts w:ascii="Book Antiqua" w:hAnsi="Book Antiqua"/>
        </w:rPr>
        <w:t xml:space="preserve"> </w:t>
      </w:r>
      <w:r w:rsidR="0010625B" w:rsidRPr="00EE5C61">
        <w:rPr>
          <w:rFonts w:ascii="Book Antiqua" w:hAnsi="Book Antiqua" w:cs="Arial"/>
          <w:szCs w:val="24"/>
        </w:rPr>
        <w:t xml:space="preserve">The Commission found that police are inclined not to treat coercive behaviour as serious because the abuse </w:t>
      </w:r>
      <w:r w:rsidR="00EE5C61">
        <w:rPr>
          <w:rFonts w:ascii="Book Antiqua" w:hAnsi="Book Antiqua" w:cs="Arial"/>
          <w:szCs w:val="24"/>
        </w:rPr>
        <w:t>is</w:t>
      </w:r>
      <w:r w:rsidR="0010625B" w:rsidRPr="00EE5C61">
        <w:rPr>
          <w:rFonts w:ascii="Book Antiqua" w:hAnsi="Book Antiqua" w:cs="Arial"/>
          <w:szCs w:val="24"/>
        </w:rPr>
        <w:t xml:space="preserve"> not visible.</w:t>
      </w:r>
      <w:r w:rsidR="0010625B" w:rsidRPr="00EE5C61">
        <w:rPr>
          <w:rStyle w:val="FootnoteReference"/>
          <w:rFonts w:ascii="Book Antiqua" w:hAnsi="Book Antiqua" w:cs="Arial"/>
          <w:szCs w:val="24"/>
        </w:rPr>
        <w:footnoteReference w:id="80"/>
      </w:r>
      <w:r w:rsidR="0010625B" w:rsidRPr="00EE5C61">
        <w:rPr>
          <w:rFonts w:ascii="Book Antiqua" w:hAnsi="Book Antiqua" w:cs="Arial"/>
          <w:szCs w:val="24"/>
        </w:rPr>
        <w:t xml:space="preserve">   However, a 2009 UK study found that controlling behaviour can be a significant factor in child homicides, and concluded that: </w:t>
      </w:r>
      <w:r w:rsidR="0010625B" w:rsidRPr="00EE5C61">
        <w:rPr>
          <w:rFonts w:ascii="Book Antiqua" w:hAnsi="Book Antiqua" w:cs="Arial"/>
          <w:iCs/>
          <w:szCs w:val="24"/>
        </w:rPr>
        <w:t>‘It is the extent of control over the whole family rather than the frequency of physical violence that indicates that such fathers are at high risk of killing children’.</w:t>
      </w:r>
      <w:r w:rsidR="0010625B" w:rsidRPr="00EE5C61">
        <w:rPr>
          <w:rStyle w:val="FootnoteReference"/>
          <w:rFonts w:ascii="Book Antiqua" w:hAnsi="Book Antiqua" w:cs="Arial"/>
          <w:iCs/>
          <w:szCs w:val="24"/>
        </w:rPr>
        <w:footnoteReference w:id="81"/>
      </w:r>
      <w:r w:rsidR="0010625B" w:rsidRPr="00EE5C61">
        <w:rPr>
          <w:rFonts w:ascii="Book Antiqua" w:hAnsi="Book Antiqua" w:cs="Arial"/>
          <w:szCs w:val="24"/>
        </w:rPr>
        <w:t xml:space="preserve"> Recent experience in this state and Queensland bears that out – the Edwards</w:t>
      </w:r>
      <w:r w:rsidR="0010625B" w:rsidRPr="00EE5C61">
        <w:rPr>
          <w:rStyle w:val="FootnoteReference"/>
          <w:rFonts w:ascii="Book Antiqua" w:hAnsi="Book Antiqua" w:cs="Arial"/>
          <w:szCs w:val="24"/>
        </w:rPr>
        <w:footnoteReference w:id="82"/>
      </w:r>
      <w:r w:rsidR="0010625B" w:rsidRPr="00EE5C61">
        <w:rPr>
          <w:rFonts w:ascii="Book Antiqua" w:hAnsi="Book Antiqua" w:cs="Arial"/>
          <w:szCs w:val="24"/>
        </w:rPr>
        <w:t xml:space="preserve"> and Hannah Clarke</w:t>
      </w:r>
      <w:r w:rsidR="0010625B" w:rsidRPr="00EE5C61">
        <w:rPr>
          <w:rStyle w:val="FootnoteReference"/>
          <w:rFonts w:ascii="Book Antiqua" w:hAnsi="Book Antiqua" w:cs="Arial"/>
          <w:szCs w:val="24"/>
        </w:rPr>
        <w:footnoteReference w:id="83"/>
      </w:r>
      <w:r w:rsidR="0010625B" w:rsidRPr="00EE5C61">
        <w:rPr>
          <w:rFonts w:ascii="Book Antiqua" w:hAnsi="Book Antiqua" w:cs="Arial"/>
          <w:szCs w:val="24"/>
        </w:rPr>
        <w:t xml:space="preserve"> cases are two of the more recent notorious examples.  </w:t>
      </w:r>
    </w:p>
    <w:p w14:paraId="27688BFD" w14:textId="54F76091" w:rsidR="00DA75A4" w:rsidRPr="00EE5C61" w:rsidRDefault="0010625B" w:rsidP="00EE5C61">
      <w:pPr>
        <w:pStyle w:val="NumParra"/>
        <w:jc w:val="both"/>
        <w:rPr>
          <w:rFonts w:ascii="Book Antiqua" w:hAnsi="Book Antiqua"/>
        </w:rPr>
      </w:pPr>
      <w:r w:rsidRPr="00EE5C61">
        <w:rPr>
          <w:rFonts w:ascii="Book Antiqua" w:hAnsi="Book Antiqua"/>
        </w:rPr>
        <w:t xml:space="preserve">However, if </w:t>
      </w:r>
      <w:r w:rsidR="007F73E4" w:rsidRPr="00EE5C61">
        <w:rPr>
          <w:rFonts w:ascii="Book Antiqua" w:hAnsi="Book Antiqua"/>
        </w:rPr>
        <w:t xml:space="preserve">abuse by way of </w:t>
      </w:r>
      <w:r w:rsidRPr="00EE5C61">
        <w:rPr>
          <w:rFonts w:ascii="Book Antiqua" w:hAnsi="Book Antiqua"/>
        </w:rPr>
        <w:t>coercive control is to have</w:t>
      </w:r>
      <w:r w:rsidR="007F73E4" w:rsidRPr="00EE5C61">
        <w:rPr>
          <w:rFonts w:ascii="Book Antiqua" w:hAnsi="Book Antiqua"/>
        </w:rPr>
        <w:t xml:space="preserve"> a legislative base, the concept needs to be </w:t>
      </w:r>
      <w:r w:rsidR="001F5536" w:rsidRPr="00EE5C61">
        <w:rPr>
          <w:rFonts w:ascii="Book Antiqua" w:hAnsi="Book Antiqua"/>
        </w:rPr>
        <w:t>amenable to definition.  This requires a clear understanding of what is meant by coercive control</w:t>
      </w:r>
      <w:r w:rsidR="00037116" w:rsidRPr="00EE5C61">
        <w:rPr>
          <w:rFonts w:ascii="Book Antiqua" w:hAnsi="Book Antiqua"/>
        </w:rPr>
        <w:t xml:space="preserve">. </w:t>
      </w:r>
      <w:r w:rsidRPr="00EE5C61">
        <w:rPr>
          <w:rFonts w:ascii="Book Antiqua" w:hAnsi="Book Antiqua"/>
        </w:rPr>
        <w:t xml:space="preserve"> </w:t>
      </w:r>
      <w:r w:rsidR="00F77E2F" w:rsidRPr="00EE5C61">
        <w:rPr>
          <w:rFonts w:ascii="Book Antiqua" w:hAnsi="Book Antiqua"/>
        </w:rPr>
        <w:t xml:space="preserve">The 2015 UK Home Office </w:t>
      </w:r>
      <w:r w:rsidR="00DC1BD2" w:rsidRPr="00EE5C61">
        <w:rPr>
          <w:rFonts w:ascii="Book Antiqua" w:hAnsi="Book Antiqua"/>
        </w:rPr>
        <w:t xml:space="preserve">report </w:t>
      </w:r>
      <w:r w:rsidR="00DC1BD2" w:rsidRPr="00EE5C61">
        <w:rPr>
          <w:rFonts w:ascii="Book Antiqua" w:hAnsi="Book Antiqua"/>
          <w:i/>
          <w:iCs/>
        </w:rPr>
        <w:t xml:space="preserve">Statutory Guidance Framework: Controlling or Coercive Behaviour in an Intimate or Family Relationship </w:t>
      </w:r>
      <w:r w:rsidR="00F77E2F" w:rsidRPr="00EE5C61">
        <w:rPr>
          <w:rFonts w:ascii="Book Antiqua" w:hAnsi="Book Antiqua"/>
        </w:rPr>
        <w:t>describe</w:t>
      </w:r>
      <w:r w:rsidR="000F713F">
        <w:rPr>
          <w:rFonts w:ascii="Book Antiqua" w:hAnsi="Book Antiqua"/>
        </w:rPr>
        <w:t>s</w:t>
      </w:r>
      <w:r w:rsidR="00037116" w:rsidRPr="00EE5C61">
        <w:rPr>
          <w:rFonts w:ascii="Book Antiqua" w:hAnsi="Book Antiqua"/>
        </w:rPr>
        <w:t xml:space="preserve"> </w:t>
      </w:r>
      <w:r w:rsidR="00F77E2F" w:rsidRPr="00EE5C61">
        <w:rPr>
          <w:rFonts w:ascii="Book Antiqua" w:hAnsi="Book Antiqua"/>
        </w:rPr>
        <w:t>coercive behaviour as not relating to a ‘single incident’; rather, ‘it is a purposeful pattern of behaviour which takes place over time in order for one individual to exert power, control or coercion over another’.</w:t>
      </w:r>
      <w:r w:rsidR="00F77E2F" w:rsidRPr="00EE5C61">
        <w:rPr>
          <w:rStyle w:val="FootnoteReference"/>
          <w:rFonts w:ascii="Book Antiqua" w:hAnsi="Book Antiqua" w:cs="Arial"/>
          <w:szCs w:val="24"/>
        </w:rPr>
        <w:footnoteReference w:id="84"/>
      </w:r>
      <w:r w:rsidR="00F77E2F" w:rsidRPr="00EE5C61">
        <w:rPr>
          <w:rFonts w:ascii="Book Antiqua" w:hAnsi="Book Antiqua"/>
        </w:rPr>
        <w:t xml:space="preserve">  </w:t>
      </w:r>
    </w:p>
    <w:p w14:paraId="70CF413F" w14:textId="77777777" w:rsidR="00DA75A4" w:rsidRPr="00E82744" w:rsidRDefault="00DA75A4" w:rsidP="00DA75A4">
      <w:pPr>
        <w:pStyle w:val="NumParra"/>
        <w:jc w:val="both"/>
        <w:rPr>
          <w:rFonts w:ascii="Book Antiqua" w:hAnsi="Book Antiqua" w:cs="Arial"/>
          <w:szCs w:val="24"/>
        </w:rPr>
      </w:pPr>
      <w:r w:rsidRPr="00E82744">
        <w:rPr>
          <w:rFonts w:ascii="Book Antiqua" w:hAnsi="Book Antiqua" w:cs="Arial"/>
          <w:szCs w:val="24"/>
        </w:rPr>
        <w:t xml:space="preserve">In October 2020, the NSW Government released its Discussion Paper on </w:t>
      </w:r>
      <w:r>
        <w:rPr>
          <w:rFonts w:ascii="Book Antiqua" w:hAnsi="Book Antiqua" w:cs="Arial"/>
          <w:szCs w:val="24"/>
        </w:rPr>
        <w:t>coercive control</w:t>
      </w:r>
      <w:r w:rsidRPr="00E82744">
        <w:rPr>
          <w:rFonts w:ascii="Book Antiqua" w:hAnsi="Book Antiqua" w:cs="Arial"/>
          <w:szCs w:val="24"/>
        </w:rPr>
        <w:t xml:space="preserve">.  In his foreword, Attorney General Mark Speakman SC, after </w:t>
      </w:r>
      <w:r w:rsidRPr="00E82744">
        <w:rPr>
          <w:rFonts w:ascii="Book Antiqua" w:hAnsi="Book Antiqua" w:cs="Arial"/>
          <w:szCs w:val="24"/>
        </w:rPr>
        <w:lastRenderedPageBreak/>
        <w:t xml:space="preserve">referring to the statistics of men and women killed by a current or former partner </w:t>
      </w:r>
      <w:r>
        <w:rPr>
          <w:rFonts w:ascii="Book Antiqua" w:hAnsi="Book Antiqua" w:cs="Arial"/>
          <w:szCs w:val="24"/>
        </w:rPr>
        <w:t>–</w:t>
      </w:r>
      <w:r w:rsidRPr="00E82744">
        <w:rPr>
          <w:rFonts w:ascii="Book Antiqua" w:hAnsi="Book Antiqua" w:cs="Arial"/>
          <w:szCs w:val="24"/>
        </w:rPr>
        <w:t xml:space="preserve"> </w:t>
      </w:r>
      <w:r>
        <w:rPr>
          <w:rFonts w:ascii="Book Antiqua" w:hAnsi="Book Antiqua" w:cs="Arial"/>
          <w:szCs w:val="24"/>
        </w:rPr>
        <w:t>one</w:t>
      </w:r>
      <w:r w:rsidRPr="00E82744">
        <w:rPr>
          <w:rFonts w:ascii="Book Antiqua" w:hAnsi="Book Antiqua" w:cs="Arial"/>
          <w:szCs w:val="24"/>
        </w:rPr>
        <w:t xml:space="preserve"> woman every </w:t>
      </w:r>
      <w:r>
        <w:rPr>
          <w:rFonts w:ascii="Book Antiqua" w:hAnsi="Book Antiqua" w:cs="Arial"/>
          <w:szCs w:val="24"/>
        </w:rPr>
        <w:t>nine</w:t>
      </w:r>
      <w:r w:rsidRPr="00E82744">
        <w:rPr>
          <w:rFonts w:ascii="Book Antiqua" w:hAnsi="Book Antiqua" w:cs="Arial"/>
          <w:szCs w:val="24"/>
        </w:rPr>
        <w:t xml:space="preserve"> days and </w:t>
      </w:r>
      <w:r>
        <w:rPr>
          <w:rFonts w:ascii="Book Antiqua" w:hAnsi="Book Antiqua" w:cs="Arial"/>
          <w:szCs w:val="24"/>
        </w:rPr>
        <w:t>one m</w:t>
      </w:r>
      <w:r w:rsidRPr="00E82744">
        <w:rPr>
          <w:rFonts w:ascii="Book Antiqua" w:hAnsi="Book Antiqua" w:cs="Arial"/>
          <w:szCs w:val="24"/>
        </w:rPr>
        <w:t xml:space="preserve">an every 29 days </w:t>
      </w:r>
      <w:r>
        <w:rPr>
          <w:rFonts w:ascii="Book Antiqua" w:hAnsi="Book Antiqua" w:cs="Arial"/>
          <w:szCs w:val="24"/>
        </w:rPr>
        <w:t>–</w:t>
      </w:r>
      <w:r w:rsidRPr="00E82744">
        <w:rPr>
          <w:rFonts w:ascii="Book Antiqua" w:hAnsi="Book Antiqua" w:cs="Arial"/>
          <w:szCs w:val="24"/>
        </w:rPr>
        <w:t xml:space="preserve"> said: </w:t>
      </w:r>
    </w:p>
    <w:p w14:paraId="785D1E83" w14:textId="5B2F362D" w:rsidR="00DA75A4" w:rsidRPr="00EE5C61" w:rsidRDefault="00DA75A4" w:rsidP="00EE5C61">
      <w:pPr>
        <w:pStyle w:val="NumParra"/>
        <w:numPr>
          <w:ilvl w:val="0"/>
          <w:numId w:val="0"/>
        </w:numPr>
        <w:spacing w:line="240" w:lineRule="auto"/>
        <w:ind w:left="1440"/>
        <w:jc w:val="both"/>
        <w:rPr>
          <w:rFonts w:ascii="Book Antiqua" w:hAnsi="Book Antiqua" w:cs="Arial"/>
          <w:szCs w:val="24"/>
        </w:rPr>
      </w:pPr>
      <w:r w:rsidRPr="00E82744">
        <w:rPr>
          <w:rFonts w:ascii="Book Antiqua" w:hAnsi="Book Antiqua" w:cs="Arial"/>
          <w:szCs w:val="24"/>
        </w:rPr>
        <w:t>‘A lesser-known statistic is this: between 10 March 2008 and 30 June 2016 there were 150 intimate partner homicides in NSW. Of these 150 homicides, 135 (90%) were classified by the Domestic Violence Death Review Team as having occurred in a domestic violence context, with 112 cases included in this dataset for in</w:t>
      </w:r>
      <w:r>
        <w:rPr>
          <w:rFonts w:ascii="Book Antiqua" w:hAnsi="Book Antiqua" w:cs="Arial"/>
          <w:szCs w:val="24"/>
        </w:rPr>
        <w:t>-</w:t>
      </w:r>
      <w:r w:rsidRPr="00E82744">
        <w:rPr>
          <w:rFonts w:ascii="Book Antiqua" w:hAnsi="Book Antiqua" w:cs="Arial"/>
          <w:szCs w:val="24"/>
        </w:rPr>
        <w:t>depth review. 111 of the primary domestic violence perpetrators were men. One was a woman who was classified as both a victim and a perpetrator. But here’s the clincher: in 111 of the 112 cases [referenced in the Domestic Violence Death Review report] the relationship between the domestic violence victim and the domestic violence perpetrator was characterised by the use of coercive and controlling behaviours.’</w:t>
      </w:r>
      <w:r w:rsidRPr="00E82744">
        <w:rPr>
          <w:rStyle w:val="FootnoteReference"/>
          <w:rFonts w:ascii="Book Antiqua" w:hAnsi="Book Antiqua" w:cs="Arial"/>
          <w:szCs w:val="24"/>
        </w:rPr>
        <w:footnoteReference w:id="85"/>
      </w:r>
      <w:r w:rsidRPr="00E82744">
        <w:rPr>
          <w:rFonts w:ascii="Book Antiqua" w:hAnsi="Book Antiqua" w:cs="Arial"/>
          <w:szCs w:val="24"/>
        </w:rPr>
        <w:t xml:space="preserve"> </w:t>
      </w:r>
    </w:p>
    <w:p w14:paraId="30660880" w14:textId="60CE7035" w:rsidR="00820A42" w:rsidRDefault="00AD2792">
      <w:pPr>
        <w:pStyle w:val="NumParra"/>
        <w:jc w:val="both"/>
        <w:rPr>
          <w:rFonts w:ascii="Book Antiqua" w:hAnsi="Book Antiqua"/>
        </w:rPr>
      </w:pPr>
      <w:r>
        <w:rPr>
          <w:rFonts w:ascii="Book Antiqua" w:hAnsi="Book Antiqua"/>
        </w:rPr>
        <w:t xml:space="preserve">The Discussion Paper described </w:t>
      </w:r>
      <w:r w:rsidR="004324EC" w:rsidRPr="00D47EEA">
        <w:rPr>
          <w:rFonts w:ascii="Book Antiqua" w:hAnsi="Book Antiqua"/>
        </w:rPr>
        <w:t>coercive control as ‘involving repeated patterns of abusive behaviour</w:t>
      </w:r>
      <w:r w:rsidR="00D928A6">
        <w:rPr>
          <w:rFonts w:ascii="Book Antiqua" w:hAnsi="Book Antiqua"/>
        </w:rPr>
        <w:t xml:space="preserve"> – w</w:t>
      </w:r>
      <w:r w:rsidR="004324EC" w:rsidRPr="00D47EEA">
        <w:rPr>
          <w:rFonts w:ascii="Book Antiqua" w:hAnsi="Book Antiqua"/>
        </w:rPr>
        <w:t>hich can include physical, sexual, psychological, emotional or financial abuse</w:t>
      </w:r>
      <w:r w:rsidR="00D928A6">
        <w:rPr>
          <w:rFonts w:ascii="Book Antiqua" w:hAnsi="Book Antiqua"/>
        </w:rPr>
        <w:t xml:space="preserve"> – </w:t>
      </w:r>
      <w:r w:rsidR="004324EC" w:rsidRPr="00D47EEA">
        <w:rPr>
          <w:rFonts w:ascii="Book Antiqua" w:hAnsi="Book Antiqua"/>
        </w:rPr>
        <w:t>the cumulative effect of which is to rob victim-survivors of their autonomy and independence’.</w:t>
      </w:r>
      <w:r w:rsidR="004324EC" w:rsidRPr="00D928A6">
        <w:rPr>
          <w:rFonts w:ascii="Book Antiqua" w:hAnsi="Book Antiqua"/>
          <w:vertAlign w:val="superscript"/>
        </w:rPr>
        <w:footnoteReference w:id="86"/>
      </w:r>
      <w:r w:rsidR="004324EC">
        <w:rPr>
          <w:rFonts w:ascii="Book Antiqua" w:hAnsi="Book Antiqua"/>
        </w:rPr>
        <w:t xml:space="preserve"> </w:t>
      </w:r>
      <w:r w:rsidR="004324EC" w:rsidRPr="00D47EEA">
        <w:rPr>
          <w:rFonts w:ascii="Book Antiqua" w:hAnsi="Book Antiqua"/>
        </w:rPr>
        <w:t xml:space="preserve"> </w:t>
      </w:r>
    </w:p>
    <w:p w14:paraId="145A6E10" w14:textId="4DFAC330" w:rsidR="003D64A0" w:rsidRPr="00D928A6" w:rsidRDefault="003D64A0" w:rsidP="00D928A6">
      <w:pPr>
        <w:pStyle w:val="NumParra"/>
        <w:jc w:val="both"/>
        <w:rPr>
          <w:rFonts w:ascii="Book Antiqua" w:hAnsi="Book Antiqua" w:cs="Arial"/>
          <w:szCs w:val="24"/>
        </w:rPr>
      </w:pPr>
      <w:r w:rsidRPr="00E82744">
        <w:rPr>
          <w:rFonts w:ascii="Book Antiqua" w:hAnsi="Book Antiqua" w:cs="Arial"/>
          <w:szCs w:val="24"/>
        </w:rPr>
        <w:t xml:space="preserve">Various conduct has been identified as indicative of coercive control: controlling access to money; using debt as a control lever; controlling what a person wears, how a person dresses, the person’s general appearance; cutting off </w:t>
      </w:r>
      <w:r w:rsidR="00E4475E">
        <w:rPr>
          <w:rFonts w:ascii="Book Antiqua" w:hAnsi="Book Antiqua" w:cs="Arial"/>
          <w:szCs w:val="24"/>
        </w:rPr>
        <w:t xml:space="preserve">access to </w:t>
      </w:r>
      <w:r w:rsidRPr="00E82744">
        <w:rPr>
          <w:rFonts w:ascii="Book Antiqua" w:hAnsi="Book Antiqua" w:cs="Arial"/>
          <w:szCs w:val="24"/>
        </w:rPr>
        <w:t>phone</w:t>
      </w:r>
      <w:r w:rsidR="00E4475E">
        <w:rPr>
          <w:rFonts w:ascii="Book Antiqua" w:hAnsi="Book Antiqua" w:cs="Arial"/>
          <w:szCs w:val="24"/>
        </w:rPr>
        <w:t>s</w:t>
      </w:r>
      <w:r w:rsidR="00AE6957">
        <w:rPr>
          <w:rFonts w:ascii="Book Antiqua" w:hAnsi="Book Antiqua" w:cs="Arial"/>
          <w:szCs w:val="24"/>
        </w:rPr>
        <w:t>;</w:t>
      </w:r>
      <w:r w:rsidRPr="00E82744">
        <w:rPr>
          <w:rFonts w:ascii="Book Antiqua" w:hAnsi="Book Antiqua" w:cs="Arial"/>
          <w:szCs w:val="24"/>
        </w:rPr>
        <w:t xml:space="preserve"> cyber bull</w:t>
      </w:r>
      <w:r w:rsidR="00F06BDE" w:rsidRPr="00E82744">
        <w:rPr>
          <w:rFonts w:ascii="Book Antiqua" w:hAnsi="Book Antiqua" w:cs="Arial"/>
          <w:szCs w:val="24"/>
        </w:rPr>
        <w:t>y</w:t>
      </w:r>
      <w:r w:rsidRPr="00E82744">
        <w:rPr>
          <w:rFonts w:ascii="Book Antiqua" w:hAnsi="Book Antiqua" w:cs="Arial"/>
          <w:szCs w:val="24"/>
        </w:rPr>
        <w:t>ing</w:t>
      </w:r>
      <w:r w:rsidR="00AE6957">
        <w:rPr>
          <w:rFonts w:ascii="Book Antiqua" w:hAnsi="Book Antiqua" w:cs="Arial"/>
          <w:szCs w:val="24"/>
        </w:rPr>
        <w:t>;</w:t>
      </w:r>
      <w:r w:rsidRPr="00E82744">
        <w:rPr>
          <w:rFonts w:ascii="Book Antiqua" w:hAnsi="Book Antiqua" w:cs="Arial"/>
          <w:szCs w:val="24"/>
        </w:rPr>
        <w:t xml:space="preserve"> forbidding contact with outsiders; threatening to reveal personal information; and using the justice system against the victim by making false or vexatious allegations.</w:t>
      </w:r>
      <w:r w:rsidR="00772B47">
        <w:rPr>
          <w:rStyle w:val="FootnoteReference"/>
          <w:rFonts w:ascii="Book Antiqua" w:hAnsi="Book Antiqua" w:cs="Arial"/>
          <w:szCs w:val="24"/>
        </w:rPr>
        <w:footnoteReference w:id="87"/>
      </w:r>
      <w:r w:rsidRPr="00E82744">
        <w:rPr>
          <w:rFonts w:ascii="Book Antiqua" w:hAnsi="Book Antiqua" w:cs="Arial"/>
          <w:szCs w:val="24"/>
        </w:rPr>
        <w:t xml:space="preserve">  In migrant communit</w:t>
      </w:r>
      <w:r w:rsidR="00726E12">
        <w:rPr>
          <w:rFonts w:ascii="Book Antiqua" w:hAnsi="Book Antiqua" w:cs="Arial"/>
          <w:szCs w:val="24"/>
        </w:rPr>
        <w:t>ies</w:t>
      </w:r>
      <w:r w:rsidRPr="00E82744">
        <w:rPr>
          <w:rFonts w:ascii="Book Antiqua" w:hAnsi="Book Antiqua" w:cs="Arial"/>
          <w:szCs w:val="24"/>
        </w:rPr>
        <w:t xml:space="preserve">, </w:t>
      </w:r>
      <w:r w:rsidR="004C2E21">
        <w:rPr>
          <w:rFonts w:ascii="Book Antiqua" w:hAnsi="Book Antiqua" w:cs="Arial"/>
          <w:szCs w:val="24"/>
        </w:rPr>
        <w:t>coercive behaviour</w:t>
      </w:r>
      <w:r w:rsidR="004C2E21" w:rsidRPr="00E82744">
        <w:rPr>
          <w:rFonts w:ascii="Book Antiqua" w:hAnsi="Book Antiqua" w:cs="Arial"/>
          <w:szCs w:val="24"/>
        </w:rPr>
        <w:t xml:space="preserve"> </w:t>
      </w:r>
      <w:r w:rsidRPr="00E82744">
        <w:rPr>
          <w:rFonts w:ascii="Book Antiqua" w:hAnsi="Book Antiqua" w:cs="Arial"/>
          <w:szCs w:val="24"/>
        </w:rPr>
        <w:t>can include refusing to allow a person to attend English</w:t>
      </w:r>
      <w:r w:rsidR="004C2E21">
        <w:rPr>
          <w:rFonts w:ascii="Book Antiqua" w:hAnsi="Book Antiqua" w:cs="Arial"/>
          <w:szCs w:val="24"/>
        </w:rPr>
        <w:t xml:space="preserve"> language</w:t>
      </w:r>
      <w:r w:rsidRPr="00E82744">
        <w:rPr>
          <w:rFonts w:ascii="Book Antiqua" w:hAnsi="Book Antiqua" w:cs="Arial"/>
          <w:szCs w:val="24"/>
        </w:rPr>
        <w:t xml:space="preserve"> classes.</w:t>
      </w:r>
      <w:r w:rsidR="0059423B">
        <w:rPr>
          <w:rStyle w:val="FootnoteReference"/>
          <w:rFonts w:ascii="Book Antiqua" w:hAnsi="Book Antiqua" w:cs="Arial"/>
          <w:szCs w:val="24"/>
        </w:rPr>
        <w:footnoteReference w:id="88"/>
      </w:r>
      <w:r w:rsidRPr="00E82744">
        <w:rPr>
          <w:rFonts w:ascii="Book Antiqua" w:hAnsi="Book Antiqua" w:cs="Arial"/>
          <w:szCs w:val="24"/>
        </w:rPr>
        <w:t xml:space="preserve">  In general terms, it is conduct which prohibits normal activities, often with the effect of isolating </w:t>
      </w:r>
      <w:r w:rsidR="00882D6F">
        <w:rPr>
          <w:rFonts w:ascii="Book Antiqua" w:hAnsi="Book Antiqua" w:cs="Arial"/>
          <w:szCs w:val="24"/>
        </w:rPr>
        <w:t>a person</w:t>
      </w:r>
      <w:r w:rsidR="00882D6F" w:rsidRPr="00E82744">
        <w:rPr>
          <w:rFonts w:ascii="Book Antiqua" w:hAnsi="Book Antiqua" w:cs="Arial"/>
          <w:szCs w:val="24"/>
        </w:rPr>
        <w:t xml:space="preserve"> </w:t>
      </w:r>
      <w:r w:rsidRPr="00E82744">
        <w:rPr>
          <w:rFonts w:ascii="Book Antiqua" w:hAnsi="Book Antiqua" w:cs="Arial"/>
          <w:szCs w:val="24"/>
        </w:rPr>
        <w:t>from normal forms of social</w:t>
      </w:r>
      <w:r w:rsidR="00882D6F">
        <w:rPr>
          <w:rFonts w:ascii="Book Antiqua" w:hAnsi="Book Antiqua" w:cs="Arial"/>
          <w:szCs w:val="24"/>
        </w:rPr>
        <w:t xml:space="preserve"> intercourse.</w:t>
      </w:r>
    </w:p>
    <w:p w14:paraId="1887C734" w14:textId="18DF9A63" w:rsidR="003D64A0" w:rsidRPr="00E82744" w:rsidRDefault="003D64A0" w:rsidP="007B7CF0">
      <w:pPr>
        <w:pStyle w:val="NumParra"/>
        <w:jc w:val="both"/>
        <w:rPr>
          <w:rFonts w:ascii="Book Antiqua" w:hAnsi="Book Antiqua" w:cs="Arial"/>
          <w:szCs w:val="24"/>
        </w:rPr>
      </w:pPr>
      <w:r w:rsidRPr="00E82744">
        <w:rPr>
          <w:rFonts w:ascii="Book Antiqua" w:hAnsi="Book Antiqua" w:cs="Arial"/>
          <w:szCs w:val="24"/>
        </w:rPr>
        <w:t xml:space="preserve">That </w:t>
      </w:r>
      <w:r w:rsidR="00AD2792">
        <w:rPr>
          <w:rFonts w:ascii="Book Antiqua" w:hAnsi="Book Antiqua" w:cs="Arial"/>
          <w:szCs w:val="24"/>
        </w:rPr>
        <w:t>coercive control</w:t>
      </w:r>
      <w:r w:rsidR="00AD2792" w:rsidRPr="00E82744">
        <w:rPr>
          <w:rFonts w:ascii="Book Antiqua" w:hAnsi="Book Antiqua" w:cs="Arial"/>
          <w:szCs w:val="24"/>
        </w:rPr>
        <w:t xml:space="preserve"> </w:t>
      </w:r>
      <w:r w:rsidRPr="00E82744">
        <w:rPr>
          <w:rFonts w:ascii="Book Antiqua" w:hAnsi="Book Antiqua" w:cs="Arial"/>
          <w:szCs w:val="24"/>
        </w:rPr>
        <w:t xml:space="preserve">is a serious issue is underscored by the fact that an overwhelming percentage of domestic violence murders are preceded, not </w:t>
      </w:r>
      <w:r w:rsidRPr="00E82744">
        <w:rPr>
          <w:rFonts w:ascii="Book Antiqua" w:hAnsi="Book Antiqua" w:cs="Arial"/>
          <w:szCs w:val="24"/>
        </w:rPr>
        <w:lastRenderedPageBreak/>
        <w:t>necessarily by a history of violence</w:t>
      </w:r>
      <w:r w:rsidR="00C14793" w:rsidRPr="00E82744">
        <w:rPr>
          <w:rFonts w:ascii="Book Antiqua" w:hAnsi="Book Antiqua" w:cs="Arial"/>
          <w:szCs w:val="24"/>
        </w:rPr>
        <w:t>,</w:t>
      </w:r>
      <w:r w:rsidRPr="00E82744">
        <w:rPr>
          <w:rFonts w:ascii="Book Antiqua" w:hAnsi="Book Antiqua" w:cs="Arial"/>
          <w:szCs w:val="24"/>
        </w:rPr>
        <w:t xml:space="preserve"> but by a history of coercive control.</w:t>
      </w:r>
      <w:r w:rsidRPr="00E82744">
        <w:rPr>
          <w:rStyle w:val="FootnoteReference"/>
          <w:rFonts w:ascii="Book Antiqua" w:hAnsi="Book Antiqua" w:cs="Arial"/>
          <w:szCs w:val="24"/>
        </w:rPr>
        <w:footnoteReference w:id="89"/>
      </w:r>
      <w:r w:rsidRPr="00E82744">
        <w:rPr>
          <w:rFonts w:ascii="Book Antiqua" w:hAnsi="Book Antiqua" w:cs="Arial"/>
          <w:szCs w:val="24"/>
        </w:rPr>
        <w:t xml:space="preserve">  Put another way, ‘coercive control is a significant predictor of partner homicide</w:t>
      </w:r>
      <w:r w:rsidR="00511C35" w:rsidRPr="00E82744">
        <w:rPr>
          <w:rFonts w:ascii="Book Antiqua" w:hAnsi="Book Antiqua" w:cs="Arial"/>
          <w:szCs w:val="24"/>
        </w:rPr>
        <w:t>’</w:t>
      </w:r>
      <w:r w:rsidR="00F31ABA" w:rsidRPr="00E82744">
        <w:rPr>
          <w:rFonts w:ascii="Book Antiqua" w:hAnsi="Book Antiqua" w:cs="Arial"/>
          <w:szCs w:val="24"/>
        </w:rPr>
        <w:t>.</w:t>
      </w:r>
      <w:r w:rsidRPr="00E82744">
        <w:rPr>
          <w:rStyle w:val="FootnoteReference"/>
          <w:rFonts w:ascii="Book Antiqua" w:hAnsi="Book Antiqua" w:cs="Arial"/>
          <w:szCs w:val="24"/>
        </w:rPr>
        <w:footnoteReference w:id="90"/>
      </w:r>
      <w:r w:rsidRPr="00E82744">
        <w:rPr>
          <w:rFonts w:ascii="Book Antiqua" w:hAnsi="Book Antiqua" w:cs="Arial"/>
          <w:szCs w:val="24"/>
        </w:rPr>
        <w:t xml:space="preserve"> </w:t>
      </w:r>
      <w:r w:rsidR="009606E0">
        <w:rPr>
          <w:rFonts w:ascii="Book Antiqua" w:hAnsi="Book Antiqua" w:cs="Arial"/>
          <w:szCs w:val="24"/>
        </w:rPr>
        <w:t>The</w:t>
      </w:r>
      <w:r w:rsidRPr="00E82744">
        <w:rPr>
          <w:rFonts w:ascii="Book Antiqua" w:hAnsi="Book Antiqua" w:cs="Arial"/>
          <w:szCs w:val="24"/>
        </w:rPr>
        <w:t xml:space="preserve"> statistics also reveal that whilst domestic violence can be experienced by persons of all sexual orientation</w:t>
      </w:r>
      <w:r w:rsidR="009606E0">
        <w:rPr>
          <w:rFonts w:ascii="Book Antiqua" w:hAnsi="Book Antiqua" w:cs="Arial"/>
          <w:szCs w:val="24"/>
        </w:rPr>
        <w:t>s</w:t>
      </w:r>
      <w:r w:rsidRPr="00E82744">
        <w:rPr>
          <w:rFonts w:ascii="Book Antiqua" w:hAnsi="Book Antiqua" w:cs="Arial"/>
          <w:szCs w:val="24"/>
        </w:rPr>
        <w:t xml:space="preserve">, it is predominantly a crime against women, </w:t>
      </w:r>
      <w:r w:rsidR="00511C35" w:rsidRPr="00E82744">
        <w:rPr>
          <w:rFonts w:ascii="Book Antiqua" w:hAnsi="Book Antiqua" w:cs="Arial"/>
          <w:szCs w:val="24"/>
        </w:rPr>
        <w:t>‘</w:t>
      </w:r>
      <w:r w:rsidRPr="00E82744">
        <w:rPr>
          <w:rFonts w:ascii="Book Antiqua" w:hAnsi="Book Antiqua" w:cs="Arial"/>
          <w:szCs w:val="24"/>
        </w:rPr>
        <w:t>in line with gendered power dynamics</w:t>
      </w:r>
      <w:r w:rsidR="00F31ABA" w:rsidRPr="00E82744">
        <w:rPr>
          <w:rFonts w:ascii="Book Antiqua" w:hAnsi="Book Antiqua" w:cs="Arial"/>
          <w:szCs w:val="24"/>
        </w:rPr>
        <w:t>’</w:t>
      </w:r>
      <w:r w:rsidRPr="00E82744">
        <w:rPr>
          <w:rFonts w:ascii="Book Antiqua" w:hAnsi="Book Antiqua" w:cs="Arial"/>
          <w:szCs w:val="24"/>
        </w:rPr>
        <w:t>.</w:t>
      </w:r>
      <w:r w:rsidRPr="00E82744">
        <w:rPr>
          <w:rStyle w:val="FootnoteReference"/>
          <w:rFonts w:ascii="Book Antiqua" w:hAnsi="Book Antiqua" w:cs="Arial"/>
          <w:szCs w:val="24"/>
        </w:rPr>
        <w:footnoteReference w:id="91"/>
      </w:r>
      <w:r w:rsidRPr="00E82744">
        <w:rPr>
          <w:rFonts w:ascii="Book Antiqua" w:hAnsi="Book Antiqua" w:cs="Arial"/>
          <w:szCs w:val="24"/>
        </w:rPr>
        <w:t xml:space="preserve">   </w:t>
      </w:r>
    </w:p>
    <w:p w14:paraId="10F75814" w14:textId="77777777" w:rsidR="00D928A6" w:rsidRDefault="003D64A0" w:rsidP="00D928A6">
      <w:pPr>
        <w:pStyle w:val="NumParra"/>
        <w:jc w:val="both"/>
        <w:rPr>
          <w:rFonts w:ascii="Book Antiqua" w:hAnsi="Book Antiqua"/>
        </w:rPr>
      </w:pPr>
      <w:r w:rsidRPr="00D928A6">
        <w:rPr>
          <w:rFonts w:ascii="Book Antiqua" w:hAnsi="Book Antiqua"/>
        </w:rPr>
        <w:t xml:space="preserve">The </w:t>
      </w:r>
      <w:r w:rsidR="009606E0" w:rsidRPr="00D928A6">
        <w:rPr>
          <w:rFonts w:ascii="Book Antiqua" w:hAnsi="Book Antiqua"/>
        </w:rPr>
        <w:t xml:space="preserve">2020 NSW Government </w:t>
      </w:r>
      <w:r w:rsidRPr="00D928A6">
        <w:rPr>
          <w:rFonts w:ascii="Book Antiqua" w:hAnsi="Book Antiqua"/>
        </w:rPr>
        <w:t xml:space="preserve">Discussion </w:t>
      </w:r>
      <w:r w:rsidR="00F31ABA" w:rsidRPr="00D928A6">
        <w:rPr>
          <w:rFonts w:ascii="Book Antiqua" w:hAnsi="Book Antiqua"/>
        </w:rPr>
        <w:t>P</w:t>
      </w:r>
      <w:r w:rsidRPr="00D928A6">
        <w:rPr>
          <w:rFonts w:ascii="Book Antiqua" w:hAnsi="Book Antiqua"/>
        </w:rPr>
        <w:t>aper notes that within the existing domestic violence legislation, there are tools at the disposal of the courts to minimise ongoing coercive control</w:t>
      </w:r>
      <w:r w:rsidR="00A83CBA" w:rsidRPr="00D928A6">
        <w:rPr>
          <w:rFonts w:ascii="Book Antiqua" w:hAnsi="Book Antiqua"/>
        </w:rPr>
        <w:t>,</w:t>
      </w:r>
      <w:r w:rsidRPr="00D928A6">
        <w:rPr>
          <w:rFonts w:ascii="Book Antiqua" w:hAnsi="Book Antiqua"/>
        </w:rPr>
        <w:t xml:space="preserve"> including orders that the perpetrator not approach or contact the victim.  </w:t>
      </w:r>
      <w:r w:rsidR="009606E0" w:rsidRPr="00D928A6">
        <w:rPr>
          <w:rFonts w:ascii="Book Antiqua" w:hAnsi="Book Antiqua"/>
        </w:rPr>
        <w:t>The question for us here in NSW</w:t>
      </w:r>
      <w:r w:rsidR="00D928A6">
        <w:rPr>
          <w:rFonts w:ascii="Book Antiqua" w:hAnsi="Book Antiqua"/>
        </w:rPr>
        <w:t>, however,</w:t>
      </w:r>
      <w:r w:rsidR="009606E0" w:rsidRPr="00D928A6">
        <w:rPr>
          <w:rFonts w:ascii="Book Antiqua" w:hAnsi="Book Antiqua"/>
        </w:rPr>
        <w:t xml:space="preserve"> is whether coercive control should be criminalised, as it has been in Scotland,</w:t>
      </w:r>
      <w:r w:rsidR="009606E0" w:rsidRPr="00D928A6">
        <w:rPr>
          <w:rStyle w:val="FootnoteReference"/>
          <w:rFonts w:ascii="Book Antiqua" w:hAnsi="Book Antiqua" w:cs="Arial"/>
          <w:szCs w:val="24"/>
        </w:rPr>
        <w:footnoteReference w:id="92"/>
      </w:r>
      <w:r w:rsidR="009606E0" w:rsidRPr="00D928A6">
        <w:rPr>
          <w:rFonts w:ascii="Book Antiqua" w:hAnsi="Book Antiqua"/>
        </w:rPr>
        <w:t xml:space="preserve"> England and Wales;</w:t>
      </w:r>
      <w:r w:rsidR="009606E0" w:rsidRPr="00D928A6">
        <w:rPr>
          <w:rStyle w:val="FootnoteReference"/>
          <w:rFonts w:ascii="Book Antiqua" w:hAnsi="Book Antiqua" w:cs="Arial"/>
          <w:szCs w:val="24"/>
        </w:rPr>
        <w:footnoteReference w:id="93"/>
      </w:r>
      <w:r w:rsidR="009606E0" w:rsidRPr="00D928A6">
        <w:rPr>
          <w:rFonts w:ascii="Book Antiqua" w:hAnsi="Book Antiqua"/>
        </w:rPr>
        <w:t xml:space="preserve"> Ireland;</w:t>
      </w:r>
      <w:r w:rsidR="009606E0" w:rsidRPr="00D928A6">
        <w:rPr>
          <w:rStyle w:val="FootnoteReference"/>
          <w:rFonts w:ascii="Book Antiqua" w:hAnsi="Book Antiqua" w:cs="Arial"/>
          <w:szCs w:val="24"/>
        </w:rPr>
        <w:footnoteReference w:id="94"/>
      </w:r>
      <w:r w:rsidR="009606E0" w:rsidRPr="00D928A6">
        <w:rPr>
          <w:rFonts w:ascii="Book Antiqua" w:hAnsi="Book Antiqua"/>
        </w:rPr>
        <w:t xml:space="preserve"> and most recently in Tasmania.</w:t>
      </w:r>
      <w:r w:rsidR="009606E0" w:rsidRPr="00D928A6">
        <w:rPr>
          <w:rStyle w:val="FootnoteReference"/>
          <w:rFonts w:ascii="Book Antiqua" w:hAnsi="Book Antiqua" w:cs="Arial"/>
          <w:szCs w:val="24"/>
        </w:rPr>
        <w:footnoteReference w:id="95"/>
      </w:r>
      <w:r w:rsidR="009606E0" w:rsidRPr="00D928A6">
        <w:rPr>
          <w:rFonts w:ascii="Book Antiqua" w:hAnsi="Book Antiqua"/>
        </w:rPr>
        <w:t xml:space="preserve">  </w:t>
      </w:r>
    </w:p>
    <w:p w14:paraId="2BF1DEA6" w14:textId="1EA5BC70" w:rsidR="003D64A0" w:rsidRPr="00D928A6" w:rsidRDefault="009606E0" w:rsidP="00D928A6">
      <w:pPr>
        <w:pStyle w:val="NumParra"/>
        <w:jc w:val="both"/>
        <w:rPr>
          <w:rFonts w:ascii="Book Antiqua" w:hAnsi="Book Antiqua"/>
        </w:rPr>
      </w:pPr>
      <w:r w:rsidRPr="00D928A6">
        <w:rPr>
          <w:rFonts w:ascii="Book Antiqua" w:hAnsi="Book Antiqua"/>
        </w:rPr>
        <w:t xml:space="preserve">The legislative response in the United Kingdom in criminalising coercive control followed advocacy and survey results from focus groups, local councils, </w:t>
      </w:r>
      <w:proofErr w:type="gramStart"/>
      <w:r w:rsidRPr="00D928A6">
        <w:rPr>
          <w:rFonts w:ascii="Book Antiqua" w:hAnsi="Book Antiqua"/>
        </w:rPr>
        <w:t>academics</w:t>
      </w:r>
      <w:proofErr w:type="gramEnd"/>
      <w:r w:rsidRPr="00D928A6">
        <w:rPr>
          <w:rFonts w:ascii="Book Antiqua" w:hAnsi="Book Antiqua"/>
        </w:rPr>
        <w:t xml:space="preserve"> and the community, which indicated an overwhelming belief that the criminal justice system was failing to protect women.  </w:t>
      </w:r>
      <w:r w:rsidR="00D928A6" w:rsidRPr="00E82744">
        <w:rPr>
          <w:rFonts w:ascii="Book Antiqua" w:hAnsi="Book Antiqua" w:cs="Arial"/>
          <w:szCs w:val="24"/>
        </w:rPr>
        <w:t>In England and Wales</w:t>
      </w:r>
      <w:r w:rsidR="00D928A6">
        <w:rPr>
          <w:rFonts w:ascii="Book Antiqua" w:hAnsi="Book Antiqua" w:cs="Arial"/>
          <w:szCs w:val="24"/>
        </w:rPr>
        <w:t>,</w:t>
      </w:r>
      <w:r w:rsidR="00D928A6" w:rsidRPr="00E82744">
        <w:rPr>
          <w:rFonts w:ascii="Book Antiqua" w:hAnsi="Book Antiqua" w:cs="Arial"/>
          <w:szCs w:val="24"/>
        </w:rPr>
        <w:t xml:space="preserve"> 85% of responses to its inquiry were that legislation was needed</w:t>
      </w:r>
      <w:r w:rsidR="00D928A6">
        <w:rPr>
          <w:rFonts w:ascii="Book Antiqua" w:hAnsi="Book Antiqua" w:cs="Arial"/>
          <w:szCs w:val="24"/>
        </w:rPr>
        <w:t>.</w:t>
      </w:r>
      <w:r w:rsidR="00D928A6">
        <w:rPr>
          <w:rStyle w:val="FootnoteReference"/>
          <w:rFonts w:ascii="Book Antiqua" w:hAnsi="Book Antiqua" w:cs="Arial"/>
          <w:szCs w:val="24"/>
        </w:rPr>
        <w:footnoteReference w:id="96"/>
      </w:r>
      <w:r w:rsidR="00D928A6">
        <w:rPr>
          <w:rFonts w:ascii="Book Antiqua" w:hAnsi="Book Antiqua" w:cs="Arial"/>
          <w:szCs w:val="24"/>
        </w:rPr>
        <w:t xml:space="preserve"> </w:t>
      </w:r>
      <w:r w:rsidR="00D928A6" w:rsidRPr="00E82744">
        <w:rPr>
          <w:rFonts w:ascii="Book Antiqua" w:hAnsi="Book Antiqua" w:cs="Arial"/>
          <w:szCs w:val="24"/>
        </w:rPr>
        <w:t>Legislative intervention followe</w:t>
      </w:r>
      <w:r w:rsidR="00D928A6">
        <w:rPr>
          <w:rFonts w:ascii="Book Antiqua" w:hAnsi="Book Antiqua" w:cs="Arial"/>
          <w:szCs w:val="24"/>
        </w:rPr>
        <w:t>d. In the following five years</w:t>
      </w:r>
      <w:r w:rsidR="00D928A6" w:rsidRPr="00E82744">
        <w:rPr>
          <w:rFonts w:ascii="Book Antiqua" w:hAnsi="Book Antiqua" w:cs="Arial"/>
          <w:szCs w:val="24"/>
        </w:rPr>
        <w:t>, there were 10 cautions, 516 proceedings and 308 convictions for the offence of coercive control, with 65% of those convicted receiving a jail sentence of an average length of just over 20 months.</w:t>
      </w:r>
      <w:r w:rsidR="00D928A6" w:rsidRPr="00E82744">
        <w:rPr>
          <w:rStyle w:val="FootnoteReference"/>
          <w:rFonts w:ascii="Book Antiqua" w:hAnsi="Book Antiqua" w:cs="Arial"/>
          <w:szCs w:val="24"/>
        </w:rPr>
        <w:footnoteReference w:id="97"/>
      </w:r>
      <w:r w:rsidR="00D928A6" w:rsidRPr="00E82744">
        <w:rPr>
          <w:rFonts w:ascii="Book Antiqua" w:hAnsi="Book Antiqua" w:cs="Arial"/>
          <w:szCs w:val="24"/>
        </w:rPr>
        <w:t xml:space="preserve">   </w:t>
      </w:r>
    </w:p>
    <w:p w14:paraId="419586A1" w14:textId="573AE2FD" w:rsidR="003D64A0" w:rsidRPr="00E82744" w:rsidRDefault="00BF1EA4" w:rsidP="007B7CF0">
      <w:pPr>
        <w:pStyle w:val="NumParra"/>
        <w:jc w:val="both"/>
        <w:rPr>
          <w:rFonts w:ascii="Book Antiqua" w:hAnsi="Book Antiqua" w:cs="Arial"/>
          <w:szCs w:val="24"/>
        </w:rPr>
      </w:pPr>
      <w:r>
        <w:rPr>
          <w:rFonts w:ascii="Book Antiqua" w:hAnsi="Book Antiqua" w:cs="Arial"/>
          <w:szCs w:val="24"/>
        </w:rPr>
        <w:t xml:space="preserve">When the matter was under consideration </w:t>
      </w:r>
      <w:r w:rsidR="009F0425">
        <w:rPr>
          <w:rFonts w:ascii="Book Antiqua" w:hAnsi="Book Antiqua" w:cs="Arial"/>
          <w:szCs w:val="24"/>
        </w:rPr>
        <w:t xml:space="preserve">in </w:t>
      </w:r>
      <w:r w:rsidR="003D64A0" w:rsidRPr="00E82744">
        <w:rPr>
          <w:rFonts w:ascii="Book Antiqua" w:hAnsi="Book Antiqua" w:cs="Arial"/>
          <w:szCs w:val="24"/>
        </w:rPr>
        <w:t>Scotland, 96% of respondents were of the view that the creation of an offence of coercive control would be an improvement in the law.</w:t>
      </w:r>
      <w:r w:rsidR="00BA13A1">
        <w:rPr>
          <w:rStyle w:val="FootnoteReference"/>
          <w:rFonts w:ascii="Book Antiqua" w:hAnsi="Book Antiqua" w:cs="Arial"/>
          <w:szCs w:val="24"/>
        </w:rPr>
        <w:footnoteReference w:id="98"/>
      </w:r>
      <w:r w:rsidR="003D64A0" w:rsidRPr="00E82744">
        <w:rPr>
          <w:rFonts w:ascii="Book Antiqua" w:hAnsi="Book Antiqua" w:cs="Arial"/>
          <w:szCs w:val="24"/>
        </w:rPr>
        <w:t xml:space="preserve"> </w:t>
      </w:r>
      <w:r w:rsidR="00D928A6">
        <w:rPr>
          <w:rFonts w:ascii="Book Antiqua" w:hAnsi="Book Antiqua" w:cs="Arial"/>
          <w:szCs w:val="24"/>
        </w:rPr>
        <w:t xml:space="preserve"> As was the case in the UK, s</w:t>
      </w:r>
      <w:r w:rsidR="009F0425">
        <w:rPr>
          <w:rFonts w:ascii="Book Antiqua" w:hAnsi="Book Antiqua" w:cs="Arial"/>
          <w:szCs w:val="24"/>
        </w:rPr>
        <w:t xml:space="preserve">ince its introduction </w:t>
      </w:r>
      <w:r w:rsidR="009F0425">
        <w:rPr>
          <w:rFonts w:ascii="Book Antiqua" w:hAnsi="Book Antiqua" w:cs="Arial"/>
          <w:szCs w:val="24"/>
        </w:rPr>
        <w:lastRenderedPageBreak/>
        <w:t xml:space="preserve">there has been </w:t>
      </w:r>
      <w:r w:rsidR="00511C35" w:rsidRPr="00E82744">
        <w:rPr>
          <w:rFonts w:ascii="Book Antiqua" w:hAnsi="Book Antiqua" w:cs="Arial"/>
          <w:szCs w:val="24"/>
        </w:rPr>
        <w:t>‘</w:t>
      </w:r>
      <w:r w:rsidR="003D64A0" w:rsidRPr="00E82744">
        <w:rPr>
          <w:rFonts w:ascii="Book Antiqua" w:hAnsi="Book Antiqua" w:cs="Arial"/>
          <w:szCs w:val="24"/>
        </w:rPr>
        <w:t>a comparatively high uptake of the offence</w:t>
      </w:r>
      <w:r w:rsidR="00511C35" w:rsidRPr="00E82744">
        <w:rPr>
          <w:rFonts w:ascii="Book Antiqua" w:hAnsi="Book Antiqua" w:cs="Arial"/>
          <w:szCs w:val="24"/>
        </w:rPr>
        <w:t>’</w:t>
      </w:r>
      <w:r w:rsidR="006026E2">
        <w:rPr>
          <w:rFonts w:ascii="Book Antiqua" w:hAnsi="Book Antiqua" w:cs="Arial"/>
          <w:szCs w:val="24"/>
        </w:rPr>
        <w:t>, nearly 1700 convictions in total.</w:t>
      </w:r>
      <w:r w:rsidR="003D64A0" w:rsidRPr="00E82744">
        <w:rPr>
          <w:rStyle w:val="FootnoteReference"/>
          <w:rFonts w:ascii="Book Antiqua" w:hAnsi="Book Antiqua" w:cs="Arial"/>
          <w:szCs w:val="24"/>
        </w:rPr>
        <w:footnoteReference w:id="99"/>
      </w:r>
      <w:r w:rsidR="006026E2" w:rsidRPr="00E82744" w:rsidDel="006026E2">
        <w:rPr>
          <w:rFonts w:ascii="Book Antiqua" w:hAnsi="Book Antiqua" w:cs="Arial"/>
          <w:szCs w:val="24"/>
        </w:rPr>
        <w:t xml:space="preserve"> </w:t>
      </w:r>
      <w:r w:rsidR="003D64A0" w:rsidRPr="00E82744">
        <w:rPr>
          <w:rFonts w:ascii="Book Antiqua" w:hAnsi="Book Antiqua" w:cs="Arial"/>
          <w:szCs w:val="24"/>
        </w:rPr>
        <w:t xml:space="preserve"> </w:t>
      </w:r>
      <w:r w:rsidR="00200B2A" w:rsidRPr="00E82744">
        <w:rPr>
          <w:rFonts w:ascii="Book Antiqua" w:hAnsi="Book Antiqua" w:cs="Arial"/>
          <w:szCs w:val="24"/>
        </w:rPr>
        <w:t xml:space="preserve">Experience in the other jurisdictions </w:t>
      </w:r>
      <w:r w:rsidR="00200B2A">
        <w:rPr>
          <w:rFonts w:ascii="Book Antiqua" w:hAnsi="Book Antiqua" w:cs="Arial"/>
          <w:szCs w:val="24"/>
        </w:rPr>
        <w:t xml:space="preserve">also </w:t>
      </w:r>
      <w:r w:rsidR="00200B2A" w:rsidRPr="00E82744">
        <w:rPr>
          <w:rFonts w:ascii="Book Antiqua" w:hAnsi="Book Antiqua" w:cs="Arial"/>
          <w:szCs w:val="24"/>
        </w:rPr>
        <w:t xml:space="preserve">demonstrates that criminalisation is workable.   </w:t>
      </w:r>
    </w:p>
    <w:p w14:paraId="205A9419" w14:textId="5AEE1B59" w:rsidR="003D64A0" w:rsidRPr="00E82744" w:rsidRDefault="003D64A0" w:rsidP="007B7CF0">
      <w:pPr>
        <w:pStyle w:val="NumParra"/>
        <w:jc w:val="both"/>
        <w:rPr>
          <w:rFonts w:ascii="Book Antiqua" w:hAnsi="Book Antiqua" w:cs="Arial"/>
          <w:szCs w:val="24"/>
        </w:rPr>
      </w:pPr>
      <w:r w:rsidRPr="00E82744">
        <w:rPr>
          <w:rFonts w:ascii="Book Antiqua" w:hAnsi="Book Antiqua" w:cs="Arial"/>
          <w:szCs w:val="24"/>
        </w:rPr>
        <w:t xml:space="preserve">The model of legislation </w:t>
      </w:r>
      <w:r w:rsidR="00BA6C04">
        <w:rPr>
          <w:rFonts w:ascii="Book Antiqua" w:hAnsi="Book Antiqua" w:cs="Arial"/>
          <w:szCs w:val="24"/>
        </w:rPr>
        <w:t xml:space="preserve">varies </w:t>
      </w:r>
      <w:r w:rsidRPr="00E82744">
        <w:rPr>
          <w:rFonts w:ascii="Book Antiqua" w:hAnsi="Book Antiqua" w:cs="Arial"/>
          <w:szCs w:val="24"/>
        </w:rPr>
        <w:t xml:space="preserve">in </w:t>
      </w:r>
      <w:r w:rsidR="009967BB" w:rsidRPr="00E82744">
        <w:rPr>
          <w:rFonts w:ascii="Book Antiqua" w:hAnsi="Book Antiqua" w:cs="Arial"/>
          <w:szCs w:val="24"/>
        </w:rPr>
        <w:t xml:space="preserve">the </w:t>
      </w:r>
      <w:r w:rsidRPr="00E82744">
        <w:rPr>
          <w:rFonts w:ascii="Book Antiqua" w:hAnsi="Book Antiqua" w:cs="Arial"/>
          <w:szCs w:val="24"/>
        </w:rPr>
        <w:t xml:space="preserve">different jurisdictions, including whether the required intent should be subjective or objective, or a combination of both.  </w:t>
      </w:r>
      <w:r w:rsidR="00C75AA6" w:rsidRPr="00E82744">
        <w:rPr>
          <w:rFonts w:ascii="Book Antiqua" w:hAnsi="Book Antiqua" w:cs="Arial"/>
          <w:szCs w:val="24"/>
        </w:rPr>
        <w:t>O</w:t>
      </w:r>
      <w:r w:rsidRPr="00E82744">
        <w:rPr>
          <w:rFonts w:ascii="Book Antiqua" w:hAnsi="Book Antiqua" w:cs="Arial"/>
          <w:szCs w:val="24"/>
        </w:rPr>
        <w:t xml:space="preserve">bjective and subjective aspects of criminal intent are not unfamiliar to </w:t>
      </w:r>
      <w:r w:rsidR="00E10F24" w:rsidRPr="00E82744">
        <w:rPr>
          <w:rFonts w:ascii="Book Antiqua" w:hAnsi="Book Antiqua" w:cs="Arial"/>
          <w:szCs w:val="24"/>
        </w:rPr>
        <w:t>NSW</w:t>
      </w:r>
      <w:r w:rsidRPr="00E82744">
        <w:rPr>
          <w:rFonts w:ascii="Book Antiqua" w:hAnsi="Book Antiqua" w:cs="Arial"/>
          <w:szCs w:val="24"/>
        </w:rPr>
        <w:t xml:space="preserve"> Lawyers – or indeed Australian lawyers generally.  So that factor, together with a clear definition, and an understanding by law enforcement authorities </w:t>
      </w:r>
      <w:r w:rsidR="009967BB">
        <w:rPr>
          <w:rFonts w:ascii="Book Antiqua" w:hAnsi="Book Antiqua" w:cs="Arial"/>
          <w:szCs w:val="24"/>
        </w:rPr>
        <w:t xml:space="preserve">of the </w:t>
      </w:r>
      <w:r w:rsidRPr="00E82744">
        <w:rPr>
          <w:rFonts w:ascii="Book Antiqua" w:hAnsi="Book Antiqua" w:cs="Arial"/>
          <w:szCs w:val="24"/>
        </w:rPr>
        <w:t xml:space="preserve">conduct </w:t>
      </w:r>
      <w:r w:rsidR="009967BB">
        <w:rPr>
          <w:rFonts w:ascii="Book Antiqua" w:hAnsi="Book Antiqua" w:cs="Arial"/>
          <w:szCs w:val="24"/>
        </w:rPr>
        <w:t xml:space="preserve">that </w:t>
      </w:r>
      <w:r w:rsidRPr="00E82744">
        <w:rPr>
          <w:rFonts w:ascii="Book Antiqua" w:hAnsi="Book Antiqua" w:cs="Arial"/>
          <w:szCs w:val="24"/>
        </w:rPr>
        <w:t>may constitute coercive behaviour, should not be an impediment</w:t>
      </w:r>
      <w:r w:rsidR="00E344AB">
        <w:rPr>
          <w:rFonts w:ascii="Book Antiqua" w:hAnsi="Book Antiqua" w:cs="Arial"/>
          <w:szCs w:val="24"/>
        </w:rPr>
        <w:t xml:space="preserve"> to the introduction of legislation</w:t>
      </w:r>
      <w:r w:rsidRPr="00E82744">
        <w:rPr>
          <w:rFonts w:ascii="Book Antiqua" w:hAnsi="Book Antiqua" w:cs="Arial"/>
          <w:szCs w:val="24"/>
        </w:rPr>
        <w:t xml:space="preserve">.  </w:t>
      </w:r>
      <w:r w:rsidR="00DE630A" w:rsidRPr="00E82744">
        <w:rPr>
          <w:rFonts w:ascii="Book Antiqua" w:hAnsi="Book Antiqua" w:cs="Arial"/>
          <w:szCs w:val="24"/>
        </w:rPr>
        <w:t>Rather, t</w:t>
      </w:r>
      <w:r w:rsidRPr="00E82744">
        <w:rPr>
          <w:rFonts w:ascii="Book Antiqua" w:hAnsi="Book Antiqua" w:cs="Arial"/>
          <w:szCs w:val="24"/>
        </w:rPr>
        <w:t xml:space="preserve">he question for us as a legal community, as it is for the wider community, is whether criminalisation of coercive conduct will enhance the protection </w:t>
      </w:r>
      <w:r w:rsidR="00C75AA6" w:rsidRPr="00E82744">
        <w:rPr>
          <w:rFonts w:ascii="Book Antiqua" w:hAnsi="Book Antiqua" w:cs="Arial"/>
          <w:szCs w:val="24"/>
        </w:rPr>
        <w:t xml:space="preserve">of </w:t>
      </w:r>
      <w:r w:rsidRPr="00E82744">
        <w:rPr>
          <w:rFonts w:ascii="Book Antiqua" w:hAnsi="Book Antiqua" w:cs="Arial"/>
          <w:szCs w:val="24"/>
        </w:rPr>
        <w:t xml:space="preserve">those subjected to </w:t>
      </w:r>
      <w:r w:rsidR="00C75AA6" w:rsidRPr="00E82744">
        <w:rPr>
          <w:rFonts w:ascii="Book Antiqua" w:hAnsi="Book Antiqua" w:cs="Arial"/>
          <w:szCs w:val="24"/>
        </w:rPr>
        <w:t>such</w:t>
      </w:r>
      <w:r w:rsidRPr="00E82744">
        <w:rPr>
          <w:rFonts w:ascii="Book Antiqua" w:hAnsi="Book Antiqua" w:cs="Arial"/>
          <w:szCs w:val="24"/>
        </w:rPr>
        <w:t xml:space="preserve"> conduct and</w:t>
      </w:r>
      <w:r w:rsidR="00C33EFC">
        <w:rPr>
          <w:rFonts w:ascii="Book Antiqua" w:hAnsi="Book Antiqua" w:cs="Arial"/>
          <w:szCs w:val="24"/>
        </w:rPr>
        <w:t xml:space="preserve">, </w:t>
      </w:r>
      <w:r w:rsidRPr="00E82744">
        <w:rPr>
          <w:rFonts w:ascii="Book Antiqua" w:hAnsi="Book Antiqua" w:cs="Arial"/>
          <w:szCs w:val="24"/>
        </w:rPr>
        <w:t>importantly,</w:t>
      </w:r>
      <w:r w:rsidR="007F252C" w:rsidRPr="00E82744">
        <w:rPr>
          <w:rFonts w:ascii="Book Antiqua" w:hAnsi="Book Antiqua" w:cs="Arial"/>
          <w:szCs w:val="24"/>
        </w:rPr>
        <w:t xml:space="preserve"> </w:t>
      </w:r>
      <w:r w:rsidRPr="00E82744">
        <w:rPr>
          <w:rFonts w:ascii="Book Antiqua" w:hAnsi="Book Antiqua" w:cs="Arial"/>
          <w:szCs w:val="24"/>
        </w:rPr>
        <w:t xml:space="preserve">see </w:t>
      </w:r>
      <w:r w:rsidR="00E344AB">
        <w:rPr>
          <w:rFonts w:ascii="Book Antiqua" w:hAnsi="Book Antiqua" w:cs="Arial"/>
          <w:szCs w:val="24"/>
        </w:rPr>
        <w:t>a decrease</w:t>
      </w:r>
      <w:r w:rsidRPr="00E82744">
        <w:rPr>
          <w:rFonts w:ascii="Book Antiqua" w:hAnsi="Book Antiqua" w:cs="Arial"/>
          <w:szCs w:val="24"/>
        </w:rPr>
        <w:t xml:space="preserve"> in such behaviour.  </w:t>
      </w:r>
    </w:p>
    <w:p w14:paraId="4807A24F" w14:textId="0BA7C49E" w:rsidR="0045400D" w:rsidRPr="00E82744" w:rsidRDefault="003D64A0" w:rsidP="007B7CF0">
      <w:pPr>
        <w:pStyle w:val="NumParra"/>
        <w:jc w:val="both"/>
        <w:rPr>
          <w:rFonts w:ascii="Book Antiqua" w:hAnsi="Book Antiqua"/>
          <w:szCs w:val="24"/>
        </w:rPr>
      </w:pPr>
      <w:r w:rsidRPr="00E82744">
        <w:rPr>
          <w:rFonts w:ascii="Book Antiqua" w:hAnsi="Book Antiqua"/>
          <w:szCs w:val="24"/>
        </w:rPr>
        <w:t>As the Attorney</w:t>
      </w:r>
      <w:r w:rsidR="00584318" w:rsidRPr="00E82744">
        <w:rPr>
          <w:rFonts w:ascii="Book Antiqua" w:hAnsi="Book Antiqua"/>
          <w:szCs w:val="24"/>
        </w:rPr>
        <w:t xml:space="preserve"> </w:t>
      </w:r>
      <w:r w:rsidRPr="00E82744">
        <w:rPr>
          <w:rFonts w:ascii="Book Antiqua" w:hAnsi="Book Antiqua"/>
          <w:szCs w:val="24"/>
        </w:rPr>
        <w:t xml:space="preserve">General pointed out in his </w:t>
      </w:r>
      <w:r w:rsidR="00F31ABA" w:rsidRPr="00E82744">
        <w:rPr>
          <w:rFonts w:ascii="Book Antiqua" w:hAnsi="Book Antiqua"/>
          <w:szCs w:val="24"/>
        </w:rPr>
        <w:t>foreword</w:t>
      </w:r>
      <w:r w:rsidRPr="00E82744">
        <w:rPr>
          <w:rFonts w:ascii="Book Antiqua" w:hAnsi="Book Antiqua"/>
          <w:szCs w:val="24"/>
        </w:rPr>
        <w:t xml:space="preserve">, </w:t>
      </w:r>
      <w:r w:rsidR="00963233">
        <w:rPr>
          <w:rFonts w:ascii="Book Antiqua" w:hAnsi="Book Antiqua"/>
          <w:szCs w:val="24"/>
        </w:rPr>
        <w:t xml:space="preserve">any </w:t>
      </w:r>
      <w:r w:rsidRPr="00E82744">
        <w:rPr>
          <w:rFonts w:ascii="Book Antiqua" w:hAnsi="Book Antiqua"/>
          <w:szCs w:val="24"/>
        </w:rPr>
        <w:t xml:space="preserve">proposal to criminalise coercive </w:t>
      </w:r>
      <w:r w:rsidR="00F31ABA" w:rsidRPr="00E82744">
        <w:rPr>
          <w:rFonts w:ascii="Book Antiqua" w:hAnsi="Book Antiqua"/>
          <w:szCs w:val="24"/>
        </w:rPr>
        <w:t>behaviours</w:t>
      </w:r>
      <w:r w:rsidRPr="00E82744">
        <w:rPr>
          <w:rFonts w:ascii="Book Antiqua" w:hAnsi="Book Antiqua"/>
          <w:szCs w:val="24"/>
        </w:rPr>
        <w:t xml:space="preserve"> </w:t>
      </w:r>
      <w:r w:rsidR="00963233">
        <w:rPr>
          <w:rFonts w:ascii="Book Antiqua" w:hAnsi="Book Antiqua"/>
          <w:szCs w:val="24"/>
        </w:rPr>
        <w:t>will excite</w:t>
      </w:r>
      <w:r w:rsidRPr="00E82744">
        <w:rPr>
          <w:rFonts w:ascii="Book Antiqua" w:hAnsi="Book Antiqua"/>
          <w:szCs w:val="24"/>
        </w:rPr>
        <w:t xml:space="preserve"> divergent responses, ranging from pleas that action is necessary</w:t>
      </w:r>
      <w:r w:rsidR="00F17987" w:rsidRPr="00E82744">
        <w:rPr>
          <w:rFonts w:ascii="Book Antiqua" w:hAnsi="Book Antiqua"/>
          <w:szCs w:val="24"/>
        </w:rPr>
        <w:t>,</w:t>
      </w:r>
      <w:r w:rsidRPr="00E82744">
        <w:rPr>
          <w:rFonts w:ascii="Book Antiqua" w:hAnsi="Book Antiqua"/>
          <w:szCs w:val="24"/>
        </w:rPr>
        <w:t xml:space="preserve"> to the stark statement that</w:t>
      </w:r>
      <w:r w:rsidR="00CB7204">
        <w:rPr>
          <w:rFonts w:ascii="Book Antiqua" w:hAnsi="Book Antiqua"/>
          <w:szCs w:val="24"/>
        </w:rPr>
        <w:t>,</w:t>
      </w:r>
      <w:r w:rsidRPr="00E82744">
        <w:rPr>
          <w:rFonts w:ascii="Book Antiqua" w:hAnsi="Book Antiqua"/>
          <w:szCs w:val="24"/>
        </w:rPr>
        <w:t xml:space="preserve"> </w:t>
      </w:r>
      <w:r w:rsidR="00511C35" w:rsidRPr="00E82744">
        <w:rPr>
          <w:rFonts w:ascii="Book Antiqua" w:hAnsi="Book Antiqua"/>
          <w:szCs w:val="24"/>
        </w:rPr>
        <w:t>‘</w:t>
      </w:r>
      <w:r w:rsidRPr="00E82744">
        <w:rPr>
          <w:rFonts w:ascii="Book Antiqua" w:hAnsi="Book Antiqua"/>
          <w:szCs w:val="24"/>
        </w:rPr>
        <w:t>You cannot legislate a narcissist to respect others</w:t>
      </w:r>
      <w:r w:rsidR="00511C35" w:rsidRPr="00E82744">
        <w:rPr>
          <w:rFonts w:ascii="Book Antiqua" w:hAnsi="Book Antiqua"/>
          <w:szCs w:val="24"/>
        </w:rPr>
        <w:t>’</w:t>
      </w:r>
      <w:r w:rsidRPr="00E82744">
        <w:rPr>
          <w:rFonts w:ascii="Book Antiqua" w:hAnsi="Book Antiqua"/>
          <w:szCs w:val="24"/>
        </w:rPr>
        <w:t>.</w:t>
      </w:r>
      <w:r w:rsidRPr="00E82744">
        <w:rPr>
          <w:rStyle w:val="FootnoteReference"/>
          <w:rFonts w:ascii="Book Antiqua" w:hAnsi="Book Antiqua" w:cs="Arial"/>
          <w:szCs w:val="24"/>
        </w:rPr>
        <w:footnoteReference w:id="100"/>
      </w:r>
      <w:r w:rsidRPr="00E82744">
        <w:rPr>
          <w:rFonts w:ascii="Book Antiqua" w:hAnsi="Book Antiqua"/>
          <w:szCs w:val="24"/>
        </w:rPr>
        <w:t xml:space="preserve">  </w:t>
      </w:r>
      <w:r w:rsidR="00B5563B">
        <w:rPr>
          <w:rFonts w:ascii="Book Antiqua" w:hAnsi="Book Antiqua"/>
          <w:szCs w:val="24"/>
        </w:rPr>
        <w:t>The</w:t>
      </w:r>
      <w:r w:rsidR="0045400D" w:rsidRPr="00E82744">
        <w:rPr>
          <w:rFonts w:ascii="Book Antiqua" w:hAnsi="Book Antiqua"/>
          <w:szCs w:val="24"/>
        </w:rPr>
        <w:t xml:space="preserve"> Honourable Kate Warner AC, Governor of Tasmania,</w:t>
      </w:r>
      <w:r w:rsidR="00B5563B">
        <w:rPr>
          <w:rFonts w:ascii="Book Antiqua" w:hAnsi="Book Antiqua"/>
          <w:szCs w:val="24"/>
        </w:rPr>
        <w:t xml:space="preserve"> made a similar point</w:t>
      </w:r>
      <w:r w:rsidR="007B4F9A">
        <w:rPr>
          <w:rFonts w:ascii="Book Antiqua" w:hAnsi="Book Antiqua"/>
          <w:szCs w:val="24"/>
        </w:rPr>
        <w:t xml:space="preserve">, considering that </w:t>
      </w:r>
      <w:r w:rsidR="0045400D" w:rsidRPr="00E82744">
        <w:rPr>
          <w:rFonts w:ascii="Book Antiqua" w:hAnsi="Book Antiqua"/>
          <w:szCs w:val="24"/>
        </w:rPr>
        <w:t xml:space="preserve">the problem </w:t>
      </w:r>
      <w:r w:rsidR="007B4F9A">
        <w:rPr>
          <w:rFonts w:ascii="Book Antiqua" w:hAnsi="Book Antiqua"/>
          <w:szCs w:val="24"/>
        </w:rPr>
        <w:t xml:space="preserve">is </w:t>
      </w:r>
      <w:r w:rsidR="007B4F9A" w:rsidRPr="00E82744">
        <w:rPr>
          <w:rFonts w:ascii="Book Antiqua" w:hAnsi="Book Antiqua"/>
          <w:szCs w:val="24"/>
        </w:rPr>
        <w:t xml:space="preserve"> </w:t>
      </w:r>
      <w:r w:rsidR="0045400D" w:rsidRPr="00E82744">
        <w:rPr>
          <w:rFonts w:ascii="Book Antiqua" w:hAnsi="Book Antiqua"/>
          <w:szCs w:val="24"/>
        </w:rPr>
        <w:t xml:space="preserve">significantly attitudinal, and </w:t>
      </w:r>
      <w:r w:rsidR="00200B2A">
        <w:rPr>
          <w:rFonts w:ascii="Book Antiqua" w:hAnsi="Book Antiqua"/>
          <w:szCs w:val="24"/>
        </w:rPr>
        <w:t>said</w:t>
      </w:r>
      <w:r w:rsidR="0045400D" w:rsidRPr="00E82744">
        <w:rPr>
          <w:rFonts w:ascii="Book Antiqua" w:hAnsi="Book Antiqua"/>
          <w:szCs w:val="24"/>
        </w:rPr>
        <w:t xml:space="preserve"> that the law cannot fix everything.</w:t>
      </w:r>
      <w:r w:rsidR="0045400D" w:rsidRPr="00E82744">
        <w:rPr>
          <w:rStyle w:val="FootnoteReference"/>
          <w:rFonts w:ascii="Book Antiqua" w:hAnsi="Book Antiqua" w:cs="Arial"/>
          <w:szCs w:val="24"/>
        </w:rPr>
        <w:footnoteReference w:id="101"/>
      </w:r>
      <w:r w:rsidR="0045400D" w:rsidRPr="00E82744">
        <w:rPr>
          <w:rFonts w:ascii="Book Antiqua" w:hAnsi="Book Antiqua"/>
          <w:szCs w:val="24"/>
        </w:rPr>
        <w:t xml:space="preserve"> </w:t>
      </w:r>
    </w:p>
    <w:p w14:paraId="4DF0531B" w14:textId="4CF7A724" w:rsidR="003D64A0" w:rsidRPr="00E82744" w:rsidRDefault="00DC1FEE" w:rsidP="007B7CF0">
      <w:pPr>
        <w:pStyle w:val="NumParra"/>
        <w:jc w:val="both"/>
        <w:rPr>
          <w:rFonts w:ascii="Book Antiqua" w:hAnsi="Book Antiqua" w:cs="Arial"/>
          <w:szCs w:val="24"/>
        </w:rPr>
      </w:pPr>
      <w:r>
        <w:rPr>
          <w:rFonts w:ascii="Book Antiqua" w:hAnsi="Book Antiqua"/>
          <w:szCs w:val="24"/>
        </w:rPr>
        <w:t>Concern h</w:t>
      </w:r>
      <w:r w:rsidR="00200B2A">
        <w:rPr>
          <w:rFonts w:ascii="Book Antiqua" w:hAnsi="Book Antiqua"/>
          <w:szCs w:val="24"/>
        </w:rPr>
        <w:t>a</w:t>
      </w:r>
      <w:r>
        <w:rPr>
          <w:rFonts w:ascii="Book Antiqua" w:hAnsi="Book Antiqua"/>
          <w:szCs w:val="24"/>
        </w:rPr>
        <w:t>s also been expressed</w:t>
      </w:r>
      <w:r w:rsidR="00FC575C" w:rsidRPr="00E82744">
        <w:rPr>
          <w:rFonts w:ascii="Book Antiqua" w:hAnsi="Book Antiqua"/>
          <w:szCs w:val="24"/>
        </w:rPr>
        <w:t xml:space="preserve"> that legislation will adversely impact marginalised groups.  A Queensland study revealed that 69% of women sentenced to serve a period of imprisonment for contravention of a domestic violence order</w:t>
      </w:r>
      <w:r w:rsidR="004812B1">
        <w:rPr>
          <w:rFonts w:ascii="Book Antiqua" w:hAnsi="Book Antiqua"/>
          <w:szCs w:val="24"/>
        </w:rPr>
        <w:t xml:space="preserve"> between 2013-14 </w:t>
      </w:r>
      <w:r w:rsidR="00FC575C" w:rsidRPr="00E82744">
        <w:rPr>
          <w:rFonts w:ascii="Book Antiqua" w:hAnsi="Book Antiqua"/>
          <w:szCs w:val="24"/>
        </w:rPr>
        <w:t>were Indigenous.</w:t>
      </w:r>
      <w:r w:rsidR="004812B1">
        <w:rPr>
          <w:rStyle w:val="FootnoteReference"/>
          <w:rFonts w:ascii="Book Antiqua" w:hAnsi="Book Antiqua"/>
          <w:szCs w:val="24"/>
        </w:rPr>
        <w:footnoteReference w:id="102"/>
      </w:r>
      <w:r w:rsidR="00FC575C" w:rsidRPr="00E82744">
        <w:rPr>
          <w:rFonts w:ascii="Book Antiqua" w:hAnsi="Book Antiqua"/>
          <w:szCs w:val="24"/>
        </w:rPr>
        <w:t xml:space="preserve">  This reflects the starkly </w:t>
      </w:r>
      <w:r w:rsidR="00FC575C" w:rsidRPr="00E82744">
        <w:rPr>
          <w:rFonts w:ascii="Book Antiqua" w:hAnsi="Book Antiqua"/>
          <w:szCs w:val="24"/>
        </w:rPr>
        <w:lastRenderedPageBreak/>
        <w:t xml:space="preserve">disproportionate representation of </w:t>
      </w:r>
      <w:r w:rsidR="0005347B" w:rsidRPr="00E82744">
        <w:rPr>
          <w:rFonts w:ascii="Book Antiqua" w:hAnsi="Book Antiqua"/>
          <w:szCs w:val="24"/>
        </w:rPr>
        <w:t>I</w:t>
      </w:r>
      <w:r w:rsidR="00FC575C" w:rsidRPr="00E82744">
        <w:rPr>
          <w:rFonts w:ascii="Book Antiqua" w:hAnsi="Book Antiqua"/>
          <w:szCs w:val="24"/>
        </w:rPr>
        <w:t xml:space="preserve">ndigenous peoples in prison, a serious concern which goes across all forms of offending by Indigenous males and females and young people. </w:t>
      </w:r>
    </w:p>
    <w:p w14:paraId="33F5B70B" w14:textId="15E20406" w:rsidR="00A22DC0" w:rsidRDefault="003D64A0" w:rsidP="00A22DC0">
      <w:pPr>
        <w:pStyle w:val="NumParra"/>
        <w:jc w:val="both"/>
        <w:rPr>
          <w:rFonts w:ascii="Book Antiqua" w:hAnsi="Book Antiqua"/>
          <w:szCs w:val="24"/>
        </w:rPr>
      </w:pPr>
      <w:r w:rsidRPr="00E82744">
        <w:rPr>
          <w:rFonts w:ascii="Book Antiqua" w:hAnsi="Book Antiqua" w:cs="Arial"/>
          <w:szCs w:val="24"/>
        </w:rPr>
        <w:t>Interestingly, of the 153 submissions received by the Joint Select Committee on Coercive Control,</w:t>
      </w:r>
      <w:r w:rsidR="00607523">
        <w:rPr>
          <w:rFonts w:ascii="Book Antiqua" w:hAnsi="Book Antiqua" w:cs="Arial"/>
          <w:szCs w:val="24"/>
        </w:rPr>
        <w:t xml:space="preserve"> </w:t>
      </w:r>
      <w:r w:rsidRPr="00E82744">
        <w:rPr>
          <w:rFonts w:ascii="Book Antiqua" w:hAnsi="Book Antiqua" w:cs="Arial"/>
          <w:szCs w:val="24"/>
        </w:rPr>
        <w:t>there is a close to even split between those who support criminalisation and those who consider that the existing domestic violence legislation is adequate.</w:t>
      </w:r>
      <w:r w:rsidR="00D461CA" w:rsidRPr="00E82744">
        <w:rPr>
          <w:rStyle w:val="FootnoteReference"/>
          <w:rFonts w:ascii="Book Antiqua" w:hAnsi="Book Antiqua" w:cs="Arial"/>
          <w:szCs w:val="24"/>
        </w:rPr>
        <w:footnoteReference w:id="103"/>
      </w:r>
      <w:r w:rsidRPr="00E82744">
        <w:rPr>
          <w:rFonts w:ascii="Book Antiqua" w:hAnsi="Book Antiqua" w:cs="Arial"/>
          <w:szCs w:val="24"/>
        </w:rPr>
        <w:t xml:space="preserve">  </w:t>
      </w:r>
      <w:r w:rsidR="00A22DC0" w:rsidRPr="00E82744">
        <w:rPr>
          <w:rFonts w:ascii="Book Antiqua" w:hAnsi="Book Antiqua"/>
          <w:szCs w:val="24"/>
        </w:rPr>
        <w:t xml:space="preserve">However, there is a recognition by the proponents of the latter view that there is a need for greater training of agencies and funding for police and social services.  </w:t>
      </w:r>
    </w:p>
    <w:p w14:paraId="3E82F71D" w14:textId="65AC8222" w:rsidR="007750AD" w:rsidRPr="00200B2A" w:rsidRDefault="00A22DC0" w:rsidP="00200B2A">
      <w:pPr>
        <w:pStyle w:val="NumParra"/>
        <w:jc w:val="both"/>
        <w:rPr>
          <w:rFonts w:ascii="Book Antiqua" w:hAnsi="Book Antiqua"/>
          <w:szCs w:val="24"/>
        </w:rPr>
      </w:pPr>
      <w:r w:rsidRPr="00E82744">
        <w:rPr>
          <w:rFonts w:ascii="Book Antiqua" w:hAnsi="Book Antiqua"/>
          <w:szCs w:val="24"/>
        </w:rPr>
        <w:t>The Law Society of NSW supports criminalisation but argues that ‘compulsory training for all police officers and the availability of comprehensive social services are vital components to the success of introducing a new offence’,</w:t>
      </w:r>
      <w:r w:rsidR="003F285D" w:rsidRPr="003F285D">
        <w:rPr>
          <w:rStyle w:val="FootnoteReference"/>
          <w:rFonts w:ascii="Book Antiqua" w:hAnsi="Book Antiqua"/>
          <w:szCs w:val="24"/>
        </w:rPr>
        <w:t xml:space="preserve"> </w:t>
      </w:r>
      <w:r w:rsidR="003F285D" w:rsidRPr="00E82744">
        <w:rPr>
          <w:rStyle w:val="FootnoteReference"/>
          <w:rFonts w:ascii="Book Antiqua" w:hAnsi="Book Antiqua"/>
          <w:szCs w:val="24"/>
        </w:rPr>
        <w:footnoteReference w:id="104"/>
      </w:r>
      <w:r w:rsidRPr="00E82744">
        <w:rPr>
          <w:rFonts w:ascii="Book Antiqua" w:hAnsi="Book Antiqua"/>
          <w:szCs w:val="24"/>
        </w:rPr>
        <w:t xml:space="preserve"> being the approach taken in Scotland.</w:t>
      </w:r>
    </w:p>
    <w:p w14:paraId="4744FC2C" w14:textId="743759C0" w:rsidR="00D44545" w:rsidRPr="00D42EEC" w:rsidRDefault="00F31ABA" w:rsidP="00D42EEC">
      <w:pPr>
        <w:pStyle w:val="NumParra"/>
        <w:jc w:val="both"/>
        <w:rPr>
          <w:rFonts w:ascii="Book Antiqua" w:hAnsi="Book Antiqua" w:cs="Arial"/>
          <w:szCs w:val="24"/>
        </w:rPr>
      </w:pPr>
      <w:r w:rsidRPr="00E82744">
        <w:rPr>
          <w:rFonts w:ascii="Book Antiqua" w:hAnsi="Book Antiqua" w:cs="Arial"/>
          <w:szCs w:val="24"/>
        </w:rPr>
        <w:t xml:space="preserve">The </w:t>
      </w:r>
      <w:r w:rsidR="003D64A0" w:rsidRPr="00E82744">
        <w:rPr>
          <w:rFonts w:ascii="Book Antiqua" w:hAnsi="Book Antiqua" w:cs="Arial"/>
          <w:szCs w:val="24"/>
        </w:rPr>
        <w:t>Public Defenders</w:t>
      </w:r>
      <w:r w:rsidR="00F5582E" w:rsidRPr="00E82744">
        <w:rPr>
          <w:rFonts w:ascii="Book Antiqua" w:hAnsi="Book Antiqua" w:cs="Arial"/>
          <w:szCs w:val="24"/>
        </w:rPr>
        <w:t xml:space="preserve"> (NSW)</w:t>
      </w:r>
      <w:r w:rsidR="003D64A0" w:rsidRPr="00E82744">
        <w:rPr>
          <w:rFonts w:ascii="Book Antiqua" w:hAnsi="Book Antiqua" w:cs="Arial"/>
          <w:szCs w:val="24"/>
        </w:rPr>
        <w:t>,</w:t>
      </w:r>
      <w:r w:rsidR="001A347A" w:rsidRPr="00E82744">
        <w:rPr>
          <w:rStyle w:val="FootnoteReference"/>
          <w:rFonts w:ascii="Book Antiqua" w:hAnsi="Book Antiqua" w:cs="Arial"/>
          <w:szCs w:val="24"/>
        </w:rPr>
        <w:footnoteReference w:id="105"/>
      </w:r>
      <w:r w:rsidR="003D64A0" w:rsidRPr="00E82744">
        <w:rPr>
          <w:rFonts w:ascii="Book Antiqua" w:hAnsi="Book Antiqua" w:cs="Arial"/>
          <w:szCs w:val="24"/>
        </w:rPr>
        <w:t xml:space="preserve"> Aboriginal Legal Service</w:t>
      </w:r>
      <w:r w:rsidR="002465BA" w:rsidRPr="00E82744">
        <w:rPr>
          <w:rFonts w:ascii="Book Antiqua" w:hAnsi="Book Antiqua" w:cs="Arial"/>
          <w:szCs w:val="24"/>
        </w:rPr>
        <w:t xml:space="preserve"> (NSW/ACT)</w:t>
      </w:r>
      <w:r w:rsidR="001A347A" w:rsidRPr="00E82744">
        <w:rPr>
          <w:rStyle w:val="FootnoteReference"/>
          <w:rFonts w:ascii="Book Antiqua" w:hAnsi="Book Antiqua" w:cs="Arial"/>
          <w:szCs w:val="24"/>
        </w:rPr>
        <w:footnoteReference w:id="106"/>
      </w:r>
      <w:r w:rsidR="003D64A0" w:rsidRPr="00E82744">
        <w:rPr>
          <w:rFonts w:ascii="Book Antiqua" w:hAnsi="Book Antiqua" w:cs="Arial"/>
          <w:szCs w:val="24"/>
        </w:rPr>
        <w:t xml:space="preserve"> and Legal Aid </w:t>
      </w:r>
      <w:r w:rsidR="001A347A" w:rsidRPr="00E82744">
        <w:rPr>
          <w:rFonts w:ascii="Book Antiqua" w:hAnsi="Book Antiqua" w:cs="Arial"/>
          <w:szCs w:val="24"/>
        </w:rPr>
        <w:t>NSW</w:t>
      </w:r>
      <w:r w:rsidR="001A347A" w:rsidRPr="00E82744">
        <w:rPr>
          <w:rStyle w:val="FootnoteReference"/>
          <w:rFonts w:ascii="Book Antiqua" w:hAnsi="Book Antiqua" w:cs="Arial"/>
          <w:szCs w:val="24"/>
        </w:rPr>
        <w:footnoteReference w:id="107"/>
      </w:r>
      <w:r w:rsidR="001A347A" w:rsidRPr="00E82744">
        <w:rPr>
          <w:rFonts w:ascii="Book Antiqua" w:hAnsi="Book Antiqua" w:cs="Arial"/>
          <w:szCs w:val="24"/>
        </w:rPr>
        <w:t xml:space="preserve"> </w:t>
      </w:r>
      <w:r w:rsidR="003D64A0" w:rsidRPr="00E82744">
        <w:rPr>
          <w:rFonts w:ascii="Book Antiqua" w:hAnsi="Book Antiqua" w:cs="Arial"/>
          <w:szCs w:val="24"/>
        </w:rPr>
        <w:t xml:space="preserve">do not support criminalisation, at least </w:t>
      </w:r>
      <w:proofErr w:type="gramStart"/>
      <w:r w:rsidR="003D64A0" w:rsidRPr="00E82744">
        <w:rPr>
          <w:rFonts w:ascii="Book Antiqua" w:hAnsi="Book Antiqua" w:cs="Arial"/>
          <w:szCs w:val="24"/>
        </w:rPr>
        <w:t>at this time</w:t>
      </w:r>
      <w:proofErr w:type="gramEnd"/>
      <w:r w:rsidR="003D64A0" w:rsidRPr="00E82744">
        <w:rPr>
          <w:rFonts w:ascii="Book Antiqua" w:hAnsi="Book Antiqua" w:cs="Arial"/>
          <w:szCs w:val="24"/>
        </w:rPr>
        <w:t>.  They stress that there is already an existing legislative framework</w:t>
      </w:r>
      <w:r w:rsidR="0051615D" w:rsidRPr="00E82744">
        <w:rPr>
          <w:rFonts w:ascii="Book Antiqua" w:hAnsi="Book Antiqua" w:cs="Arial"/>
          <w:szCs w:val="24"/>
        </w:rPr>
        <w:t xml:space="preserve"> for domestic violence,</w:t>
      </w:r>
      <w:r w:rsidR="003D64A0" w:rsidRPr="00E82744">
        <w:rPr>
          <w:rFonts w:ascii="Book Antiqua" w:hAnsi="Book Antiqua" w:cs="Arial"/>
          <w:szCs w:val="24"/>
        </w:rPr>
        <w:t xml:space="preserve"> which has its own complexities</w:t>
      </w:r>
      <w:r w:rsidR="007750AD" w:rsidRPr="00E82744">
        <w:rPr>
          <w:rFonts w:ascii="Book Antiqua" w:hAnsi="Book Antiqua" w:cs="Arial"/>
          <w:szCs w:val="24"/>
        </w:rPr>
        <w:t>.</w:t>
      </w:r>
      <w:r w:rsidR="003D64A0" w:rsidRPr="00E82744">
        <w:rPr>
          <w:rFonts w:ascii="Book Antiqua" w:hAnsi="Book Antiqua" w:cs="Arial"/>
          <w:szCs w:val="24"/>
        </w:rPr>
        <w:t xml:space="preserve"> </w:t>
      </w:r>
      <w:r w:rsidR="007750AD" w:rsidRPr="00E82744">
        <w:rPr>
          <w:rFonts w:ascii="Book Antiqua" w:hAnsi="Book Antiqua" w:cs="Arial"/>
          <w:szCs w:val="24"/>
        </w:rPr>
        <w:t>T</w:t>
      </w:r>
      <w:r w:rsidR="003D64A0" w:rsidRPr="00E82744">
        <w:rPr>
          <w:rFonts w:ascii="Book Antiqua" w:hAnsi="Book Antiqua" w:cs="Arial"/>
          <w:szCs w:val="24"/>
        </w:rPr>
        <w:t xml:space="preserve">hey </w:t>
      </w:r>
      <w:r w:rsidR="00A12581">
        <w:rPr>
          <w:rFonts w:ascii="Book Antiqua" w:hAnsi="Book Antiqua" w:cs="Arial"/>
          <w:szCs w:val="24"/>
        </w:rPr>
        <w:t xml:space="preserve">also </w:t>
      </w:r>
      <w:r w:rsidR="003D64A0" w:rsidRPr="00E82744">
        <w:rPr>
          <w:rFonts w:ascii="Book Antiqua" w:hAnsi="Book Antiqua" w:cs="Arial"/>
          <w:szCs w:val="24"/>
        </w:rPr>
        <w:t>point to</w:t>
      </w:r>
      <w:r w:rsidR="0051615D" w:rsidRPr="00E82744">
        <w:rPr>
          <w:rFonts w:ascii="Book Antiqua" w:hAnsi="Book Antiqua" w:cs="Arial"/>
          <w:szCs w:val="24"/>
        </w:rPr>
        <w:t>:</w:t>
      </w:r>
      <w:r w:rsidR="003D64A0" w:rsidRPr="00E82744">
        <w:rPr>
          <w:rFonts w:ascii="Book Antiqua" w:hAnsi="Book Antiqua" w:cs="Arial"/>
          <w:szCs w:val="24"/>
        </w:rPr>
        <w:t xml:space="preserve"> difficulties in prosecuting such an offence; retraumatising of victims in lengthy court proceedings; victimisation of </w:t>
      </w:r>
      <w:r w:rsidR="003D64A0" w:rsidRPr="00E822F3">
        <w:rPr>
          <w:rFonts w:ascii="Book Antiqua" w:hAnsi="Book Antiqua" w:cs="Arial"/>
          <w:szCs w:val="24"/>
        </w:rPr>
        <w:t>communities who adhere to more traditional gender norms and divisions of household tasks</w:t>
      </w:r>
      <w:r w:rsidR="0051615D" w:rsidRPr="00E822F3">
        <w:rPr>
          <w:rFonts w:ascii="Book Antiqua" w:hAnsi="Book Antiqua" w:cs="Arial"/>
          <w:szCs w:val="24"/>
        </w:rPr>
        <w:t>;</w:t>
      </w:r>
      <w:r w:rsidR="003D64A0" w:rsidRPr="00E822F3">
        <w:rPr>
          <w:rFonts w:ascii="Book Antiqua" w:hAnsi="Book Antiqua" w:cs="Arial"/>
          <w:szCs w:val="24"/>
        </w:rPr>
        <w:t xml:space="preserve"> as well as </w:t>
      </w:r>
      <w:r w:rsidR="007750AD" w:rsidRPr="00E822F3">
        <w:rPr>
          <w:rFonts w:ascii="Book Antiqua" w:hAnsi="Book Antiqua" w:cs="Arial"/>
          <w:szCs w:val="24"/>
        </w:rPr>
        <w:t>A</w:t>
      </w:r>
      <w:r w:rsidR="003D64A0" w:rsidRPr="00E822F3">
        <w:rPr>
          <w:rFonts w:ascii="Book Antiqua" w:hAnsi="Book Antiqua" w:cs="Arial"/>
          <w:szCs w:val="24"/>
        </w:rPr>
        <w:t xml:space="preserve">boriginal and </w:t>
      </w:r>
      <w:r w:rsidR="003D64A0" w:rsidRPr="00E822F3">
        <w:rPr>
          <w:rFonts w:ascii="Book Antiqua" w:hAnsi="Book Antiqua" w:cs="Arial"/>
          <w:szCs w:val="24"/>
        </w:rPr>
        <w:lastRenderedPageBreak/>
        <w:t xml:space="preserve">Torres Strait Islander communities </w:t>
      </w:r>
      <w:r w:rsidR="00511C35" w:rsidRPr="00E822F3">
        <w:rPr>
          <w:rFonts w:ascii="Book Antiqua" w:hAnsi="Book Antiqua" w:cs="Arial"/>
          <w:szCs w:val="24"/>
        </w:rPr>
        <w:t>‘</w:t>
      </w:r>
      <w:r w:rsidR="003D64A0" w:rsidRPr="00E822F3">
        <w:rPr>
          <w:rFonts w:ascii="Book Antiqua" w:hAnsi="Book Antiqua" w:cs="Arial"/>
          <w:szCs w:val="24"/>
        </w:rPr>
        <w:t>who are already over</w:t>
      </w:r>
      <w:r w:rsidR="00E822F3">
        <w:rPr>
          <w:rFonts w:ascii="Book Antiqua" w:hAnsi="Book Antiqua" w:cs="Arial"/>
          <w:szCs w:val="24"/>
        </w:rPr>
        <w:t>-</w:t>
      </w:r>
      <w:r w:rsidR="003D64A0" w:rsidRPr="00E822F3">
        <w:rPr>
          <w:rFonts w:ascii="Book Antiqua" w:hAnsi="Book Antiqua" w:cs="Arial"/>
          <w:szCs w:val="24"/>
        </w:rPr>
        <w:t xml:space="preserve">policed and </w:t>
      </w:r>
      <w:r w:rsidR="00E822F3">
        <w:rPr>
          <w:rFonts w:ascii="Book Antiqua" w:hAnsi="Book Antiqua" w:cs="Arial"/>
          <w:szCs w:val="24"/>
        </w:rPr>
        <w:t>who experience</w:t>
      </w:r>
      <w:r w:rsidR="003D64A0" w:rsidRPr="00E822F3">
        <w:rPr>
          <w:rFonts w:ascii="Book Antiqua" w:hAnsi="Book Antiqua" w:cs="Arial"/>
          <w:szCs w:val="24"/>
        </w:rPr>
        <w:t xml:space="preserve"> layers of intergenerational disadvantage and trauma</w:t>
      </w:r>
      <w:r w:rsidR="00511C35" w:rsidRPr="00E822F3">
        <w:rPr>
          <w:rFonts w:ascii="Book Antiqua" w:hAnsi="Book Antiqua" w:cs="Arial"/>
          <w:szCs w:val="24"/>
        </w:rPr>
        <w:t>’</w:t>
      </w:r>
      <w:r w:rsidR="003D64A0" w:rsidRPr="00E822F3">
        <w:rPr>
          <w:rFonts w:ascii="Book Antiqua" w:hAnsi="Book Antiqua" w:cs="Arial"/>
          <w:szCs w:val="24"/>
        </w:rPr>
        <w:t>.</w:t>
      </w:r>
      <w:r w:rsidR="00E822F3">
        <w:rPr>
          <w:rStyle w:val="FootnoteReference"/>
          <w:rFonts w:ascii="Book Antiqua" w:hAnsi="Book Antiqua" w:cs="Arial"/>
          <w:szCs w:val="24"/>
        </w:rPr>
        <w:footnoteReference w:id="108"/>
      </w:r>
      <w:r w:rsidR="008D23F0" w:rsidRPr="00E822F3">
        <w:rPr>
          <w:rFonts w:ascii="Book Antiqua" w:hAnsi="Book Antiqua" w:cs="Arial"/>
          <w:szCs w:val="24"/>
        </w:rPr>
        <w:t xml:space="preserve"> </w:t>
      </w:r>
      <w:r w:rsidR="003D64A0" w:rsidRPr="00E82744">
        <w:rPr>
          <w:rFonts w:ascii="Book Antiqua" w:hAnsi="Book Antiqua" w:cs="Arial"/>
          <w:szCs w:val="24"/>
        </w:rPr>
        <w:t xml:space="preserve"> </w:t>
      </w:r>
    </w:p>
    <w:p w14:paraId="00821CF0" w14:textId="24E02DAD" w:rsidR="0051615D" w:rsidRPr="00E82744" w:rsidRDefault="0051615D" w:rsidP="00D47EEA">
      <w:pPr>
        <w:pStyle w:val="NumParra"/>
        <w:numPr>
          <w:ilvl w:val="0"/>
          <w:numId w:val="0"/>
        </w:numPr>
        <w:ind w:left="426"/>
        <w:jc w:val="both"/>
        <w:rPr>
          <w:rFonts w:ascii="Book Antiqua" w:hAnsi="Book Antiqua" w:cs="Arial"/>
          <w:szCs w:val="24"/>
        </w:rPr>
      </w:pPr>
      <w:r w:rsidRPr="00D47EEA">
        <w:rPr>
          <w:rFonts w:ascii="Book Antiqua" w:hAnsi="Book Antiqua" w:cs="Arial"/>
          <w:b/>
          <w:bCs/>
          <w:szCs w:val="24"/>
        </w:rPr>
        <w:t>Conclusion</w:t>
      </w:r>
    </w:p>
    <w:p w14:paraId="32A3E072" w14:textId="18E14EF9" w:rsidR="00EF291D" w:rsidRDefault="00631246" w:rsidP="007B7CF0">
      <w:pPr>
        <w:pStyle w:val="NumParra"/>
        <w:jc w:val="both"/>
        <w:rPr>
          <w:rFonts w:ascii="Book Antiqua" w:hAnsi="Book Antiqua" w:cs="Arial"/>
          <w:szCs w:val="24"/>
        </w:rPr>
      </w:pPr>
      <w:r w:rsidRPr="00E82744">
        <w:rPr>
          <w:rFonts w:ascii="Book Antiqua" w:hAnsi="Book Antiqua" w:cs="Arial"/>
          <w:szCs w:val="24"/>
        </w:rPr>
        <w:t>Whatever position the Government takes on the criminalisation of coercive control</w:t>
      </w:r>
      <w:r w:rsidR="00675E12" w:rsidRPr="00E82744">
        <w:rPr>
          <w:rFonts w:ascii="Book Antiqua" w:hAnsi="Book Antiqua" w:cs="Arial"/>
          <w:szCs w:val="24"/>
        </w:rPr>
        <w:t>,</w:t>
      </w:r>
      <w:r w:rsidR="00B315D9" w:rsidRPr="00E82744">
        <w:rPr>
          <w:rFonts w:ascii="Book Antiqua" w:hAnsi="Book Antiqua" w:cs="Arial"/>
          <w:szCs w:val="24"/>
        </w:rPr>
        <w:t xml:space="preserve"> </w:t>
      </w:r>
      <w:r w:rsidR="00B87B9B" w:rsidRPr="00E82744">
        <w:rPr>
          <w:rFonts w:ascii="Book Antiqua" w:hAnsi="Book Antiqua" w:cs="Arial"/>
          <w:szCs w:val="24"/>
        </w:rPr>
        <w:t>t</w:t>
      </w:r>
      <w:r w:rsidR="00A9693E" w:rsidRPr="00E82744">
        <w:rPr>
          <w:rFonts w:ascii="Book Antiqua" w:hAnsi="Book Antiqua" w:cs="Arial"/>
          <w:szCs w:val="24"/>
        </w:rPr>
        <w:t xml:space="preserve">he statistics, </w:t>
      </w:r>
      <w:r w:rsidR="00B87B9B" w:rsidRPr="00E82744">
        <w:rPr>
          <w:rFonts w:ascii="Book Antiqua" w:hAnsi="Book Antiqua" w:cs="Arial"/>
          <w:szCs w:val="24"/>
        </w:rPr>
        <w:t xml:space="preserve">decided </w:t>
      </w:r>
      <w:r w:rsidR="00A9693E" w:rsidRPr="00E82744">
        <w:rPr>
          <w:rFonts w:ascii="Book Antiqua" w:hAnsi="Book Antiqua" w:cs="Arial"/>
          <w:szCs w:val="24"/>
        </w:rPr>
        <w:t xml:space="preserve">cases, </w:t>
      </w:r>
      <w:r w:rsidRPr="00E82744">
        <w:rPr>
          <w:rFonts w:ascii="Book Antiqua" w:hAnsi="Book Antiqua" w:cs="Arial"/>
          <w:szCs w:val="24"/>
        </w:rPr>
        <w:t xml:space="preserve">anecdotal stories and conversations </w:t>
      </w:r>
      <w:r w:rsidR="00B87B9B" w:rsidRPr="00E82744">
        <w:rPr>
          <w:rFonts w:ascii="Book Antiqua" w:hAnsi="Book Antiqua" w:cs="Arial"/>
          <w:szCs w:val="24"/>
        </w:rPr>
        <w:t>d</w:t>
      </w:r>
      <w:r w:rsidR="003D64A0" w:rsidRPr="00E82744">
        <w:rPr>
          <w:rFonts w:ascii="Book Antiqua" w:hAnsi="Book Antiqua" w:cs="Arial"/>
          <w:szCs w:val="24"/>
        </w:rPr>
        <w:t>emonstrate</w:t>
      </w:r>
      <w:r w:rsidR="00F31ABA" w:rsidRPr="00E82744">
        <w:rPr>
          <w:rFonts w:ascii="Book Antiqua" w:hAnsi="Book Antiqua" w:cs="Arial"/>
          <w:szCs w:val="24"/>
        </w:rPr>
        <w:t xml:space="preserve"> </w:t>
      </w:r>
      <w:r w:rsidR="003D64A0" w:rsidRPr="00E82744">
        <w:rPr>
          <w:rFonts w:ascii="Book Antiqua" w:hAnsi="Book Antiqua" w:cs="Arial"/>
          <w:szCs w:val="24"/>
        </w:rPr>
        <w:t>that there is a</w:t>
      </w:r>
      <w:r w:rsidR="00D41765">
        <w:rPr>
          <w:rFonts w:ascii="Book Antiqua" w:hAnsi="Book Antiqua" w:cs="Arial"/>
          <w:szCs w:val="24"/>
        </w:rPr>
        <w:t xml:space="preserve">n enormous </w:t>
      </w:r>
      <w:r w:rsidR="003D64A0" w:rsidRPr="00E82744">
        <w:rPr>
          <w:rFonts w:ascii="Book Antiqua" w:hAnsi="Book Antiqua" w:cs="Arial"/>
          <w:szCs w:val="24"/>
        </w:rPr>
        <w:t>social issue of domestic violence that calls out desperately for a solution.  Sadly, the 1981 second reading speech to which I referred earlier could</w:t>
      </w:r>
      <w:r w:rsidR="00F31ABA" w:rsidRPr="00E82744">
        <w:rPr>
          <w:rFonts w:ascii="Book Antiqua" w:hAnsi="Book Antiqua" w:cs="Arial"/>
          <w:szCs w:val="24"/>
        </w:rPr>
        <w:t xml:space="preserve"> still</w:t>
      </w:r>
      <w:r w:rsidR="003D64A0" w:rsidRPr="00E82744">
        <w:rPr>
          <w:rFonts w:ascii="Book Antiqua" w:hAnsi="Book Antiqua" w:cs="Arial"/>
          <w:szCs w:val="24"/>
        </w:rPr>
        <w:t xml:space="preserve"> be </w:t>
      </w:r>
      <w:r w:rsidR="00F31ABA" w:rsidRPr="00E82744">
        <w:rPr>
          <w:rFonts w:ascii="Book Antiqua" w:hAnsi="Book Antiqua" w:cs="Arial"/>
          <w:szCs w:val="24"/>
        </w:rPr>
        <w:t xml:space="preserve">read </w:t>
      </w:r>
      <w:r w:rsidR="003D64A0" w:rsidRPr="00E82744">
        <w:rPr>
          <w:rFonts w:ascii="Book Antiqua" w:hAnsi="Book Antiqua" w:cs="Arial"/>
          <w:szCs w:val="24"/>
        </w:rPr>
        <w:t xml:space="preserve">today. </w:t>
      </w:r>
      <w:r w:rsidR="00EF291D">
        <w:rPr>
          <w:rFonts w:ascii="Book Antiqua" w:hAnsi="Book Antiqua" w:cs="Arial"/>
          <w:szCs w:val="24"/>
        </w:rPr>
        <w:t xml:space="preserve">  </w:t>
      </w:r>
    </w:p>
    <w:p w14:paraId="5D0FF0F3" w14:textId="5919863B" w:rsidR="003D64A0" w:rsidRPr="00E822F3" w:rsidRDefault="00EF291D" w:rsidP="00E822F3">
      <w:pPr>
        <w:pStyle w:val="NumParra"/>
        <w:jc w:val="both"/>
        <w:rPr>
          <w:rFonts w:ascii="Book Antiqua" w:hAnsi="Book Antiqua" w:cs="Arial"/>
          <w:szCs w:val="24"/>
        </w:rPr>
      </w:pPr>
      <w:r>
        <w:rPr>
          <w:rFonts w:ascii="Book Antiqua" w:hAnsi="Book Antiqua" w:cs="Arial"/>
          <w:szCs w:val="24"/>
        </w:rPr>
        <w:t xml:space="preserve">There is also a community lesson in all of this.  In </w:t>
      </w:r>
      <w:r w:rsidRPr="00AD6752">
        <w:rPr>
          <w:rFonts w:ascii="Book Antiqua" w:hAnsi="Book Antiqua" w:cs="Arial"/>
          <w:szCs w:val="24"/>
        </w:rPr>
        <w:t>asking a Mayor of a country town</w:t>
      </w:r>
      <w:r>
        <w:rPr>
          <w:rFonts w:ascii="Book Antiqua" w:hAnsi="Book Antiqua" w:cs="Arial"/>
          <w:szCs w:val="24"/>
        </w:rPr>
        <w:t xml:space="preserve"> how the community was faring in the drought and during COVID-19</w:t>
      </w:r>
      <w:r w:rsidR="00E822F3">
        <w:rPr>
          <w:rFonts w:ascii="Book Antiqua" w:hAnsi="Book Antiqua" w:cs="Arial"/>
          <w:szCs w:val="24"/>
        </w:rPr>
        <w:t>, I</w:t>
      </w:r>
      <w:r>
        <w:rPr>
          <w:rFonts w:ascii="Book Antiqua" w:hAnsi="Book Antiqua" w:cs="Arial"/>
          <w:szCs w:val="24"/>
        </w:rPr>
        <w:t xml:space="preserve"> also asked</w:t>
      </w:r>
      <w:r w:rsidR="006616EF">
        <w:rPr>
          <w:rFonts w:ascii="Book Antiqua" w:hAnsi="Book Antiqua" w:cs="Arial"/>
          <w:szCs w:val="24"/>
        </w:rPr>
        <w:t>,</w:t>
      </w:r>
      <w:r w:rsidRPr="00AD6752">
        <w:rPr>
          <w:rFonts w:ascii="Book Antiqua" w:hAnsi="Book Antiqua" w:cs="Arial"/>
          <w:szCs w:val="24"/>
        </w:rPr>
        <w:t xml:space="preserve"> ‘What about domestic violenc</w:t>
      </w:r>
      <w:r w:rsidR="00E822F3">
        <w:rPr>
          <w:rFonts w:ascii="Book Antiqua" w:hAnsi="Book Antiqua" w:cs="Arial"/>
          <w:szCs w:val="24"/>
        </w:rPr>
        <w:t>e?</w:t>
      </w:r>
      <w:r w:rsidRPr="00AD6752">
        <w:rPr>
          <w:rFonts w:ascii="Book Antiqua" w:hAnsi="Book Antiqua" w:cs="Arial"/>
          <w:szCs w:val="24"/>
        </w:rPr>
        <w:t>’</w:t>
      </w:r>
      <w:r w:rsidR="00E822F3">
        <w:rPr>
          <w:rFonts w:ascii="Book Antiqua" w:hAnsi="Book Antiqua" w:cs="Arial"/>
          <w:szCs w:val="24"/>
        </w:rPr>
        <w:t xml:space="preserve"> </w:t>
      </w:r>
      <w:r>
        <w:rPr>
          <w:rFonts w:ascii="Book Antiqua" w:hAnsi="Book Antiqua" w:cs="Arial"/>
          <w:szCs w:val="24"/>
        </w:rPr>
        <w:t xml:space="preserve"> His reply was </w:t>
      </w:r>
      <w:r w:rsidR="00BF7245">
        <w:rPr>
          <w:rFonts w:ascii="Book Antiqua" w:hAnsi="Book Antiqua" w:cs="Arial"/>
          <w:szCs w:val="24"/>
        </w:rPr>
        <w:t xml:space="preserve">telling: </w:t>
      </w:r>
      <w:r w:rsidRPr="00AD6752">
        <w:rPr>
          <w:rFonts w:ascii="Book Antiqua" w:hAnsi="Book Antiqua" w:cs="Arial"/>
          <w:szCs w:val="24"/>
        </w:rPr>
        <w:t>‘It’s a mongrel of a thing’.  He continued, ‘We have become quite good at asking someone we come across in the street: “R U OK?” We just don’t say to the fella in the pub who we know bashes up his wife, “Hey mate, you need help”’.</w:t>
      </w:r>
      <w:r w:rsidR="00BF7245">
        <w:rPr>
          <w:rFonts w:ascii="Book Antiqua" w:hAnsi="Book Antiqua" w:cs="Arial"/>
          <w:szCs w:val="24"/>
        </w:rPr>
        <w:t xml:space="preserve">  </w:t>
      </w:r>
    </w:p>
    <w:sectPr w:rsidR="003D64A0" w:rsidRPr="00E822F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F82D" w14:textId="77777777" w:rsidR="00397E8F" w:rsidRDefault="00397E8F" w:rsidP="005A3552">
      <w:pPr>
        <w:spacing w:after="0" w:line="240" w:lineRule="auto"/>
      </w:pPr>
      <w:r>
        <w:separator/>
      </w:r>
    </w:p>
  </w:endnote>
  <w:endnote w:type="continuationSeparator" w:id="0">
    <w:p w14:paraId="324EAA85" w14:textId="77777777" w:rsidR="00397E8F" w:rsidRDefault="00397E8F" w:rsidP="005A3552">
      <w:pPr>
        <w:spacing w:after="0" w:line="240" w:lineRule="auto"/>
      </w:pPr>
      <w:r>
        <w:continuationSeparator/>
      </w:r>
    </w:p>
  </w:endnote>
  <w:endnote w:type="continuationNotice" w:id="1">
    <w:p w14:paraId="39AC77D6" w14:textId="77777777" w:rsidR="00397E8F" w:rsidRDefault="00397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844593"/>
      <w:docPartObj>
        <w:docPartGallery w:val="Page Numbers (Bottom of Page)"/>
        <w:docPartUnique/>
      </w:docPartObj>
    </w:sdtPr>
    <w:sdtEndPr>
      <w:rPr>
        <w:rFonts w:ascii="Book Antiqua" w:hAnsi="Book Antiqua"/>
        <w:noProof/>
      </w:rPr>
    </w:sdtEndPr>
    <w:sdtContent>
      <w:p w14:paraId="45D0F91B" w14:textId="504C79B4" w:rsidR="00333E88" w:rsidRPr="00C21D84" w:rsidRDefault="00333E88">
        <w:pPr>
          <w:pStyle w:val="Footer"/>
          <w:jc w:val="right"/>
          <w:rPr>
            <w:rFonts w:ascii="Book Antiqua" w:hAnsi="Book Antiqua"/>
          </w:rPr>
        </w:pPr>
        <w:r w:rsidRPr="00C21D84">
          <w:rPr>
            <w:rFonts w:ascii="Book Antiqua" w:hAnsi="Book Antiqua"/>
          </w:rPr>
          <w:fldChar w:fldCharType="begin"/>
        </w:r>
        <w:r w:rsidRPr="00C21D84">
          <w:rPr>
            <w:rFonts w:ascii="Book Antiqua" w:hAnsi="Book Antiqua"/>
          </w:rPr>
          <w:instrText xml:space="preserve"> PAGE   \* MERGEFORMAT </w:instrText>
        </w:r>
        <w:r w:rsidRPr="00C21D84">
          <w:rPr>
            <w:rFonts w:ascii="Book Antiqua" w:hAnsi="Book Antiqua"/>
          </w:rPr>
          <w:fldChar w:fldCharType="separate"/>
        </w:r>
        <w:r w:rsidRPr="00C21D84">
          <w:rPr>
            <w:rFonts w:ascii="Book Antiqua" w:hAnsi="Book Antiqua"/>
            <w:noProof/>
          </w:rPr>
          <w:t>2</w:t>
        </w:r>
        <w:r w:rsidRPr="00C21D84">
          <w:rPr>
            <w:rFonts w:ascii="Book Antiqua" w:hAnsi="Book Antiqua"/>
            <w:noProof/>
          </w:rPr>
          <w:fldChar w:fldCharType="end"/>
        </w:r>
      </w:p>
    </w:sdtContent>
  </w:sdt>
  <w:p w14:paraId="1DF19D06" w14:textId="28C91901" w:rsidR="00333E88" w:rsidRDefault="0033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6DA1F" w14:textId="77777777" w:rsidR="00397E8F" w:rsidRDefault="00397E8F" w:rsidP="005A3552">
      <w:pPr>
        <w:spacing w:after="0" w:line="240" w:lineRule="auto"/>
      </w:pPr>
      <w:r>
        <w:separator/>
      </w:r>
    </w:p>
  </w:footnote>
  <w:footnote w:type="continuationSeparator" w:id="0">
    <w:p w14:paraId="76BC200C" w14:textId="77777777" w:rsidR="00397E8F" w:rsidRDefault="00397E8F" w:rsidP="005A3552">
      <w:pPr>
        <w:spacing w:after="0" w:line="240" w:lineRule="auto"/>
      </w:pPr>
      <w:r>
        <w:continuationSeparator/>
      </w:r>
    </w:p>
  </w:footnote>
  <w:footnote w:type="continuationNotice" w:id="1">
    <w:p w14:paraId="20395563" w14:textId="77777777" w:rsidR="00397E8F" w:rsidRDefault="00397E8F">
      <w:pPr>
        <w:spacing w:after="0" w:line="240" w:lineRule="auto"/>
      </w:pPr>
    </w:p>
  </w:footnote>
  <w:footnote w:id="2">
    <w:p w14:paraId="53EB0AB5" w14:textId="1E06F05D" w:rsidR="00EB340A" w:rsidRDefault="00EB340A">
      <w:pPr>
        <w:pStyle w:val="FootnoteText"/>
        <w:rPr>
          <w:rFonts w:ascii="Book Antiqua" w:hAnsi="Book Antiqua"/>
        </w:rPr>
      </w:pPr>
      <w:r>
        <w:rPr>
          <w:rFonts w:ascii="Book Antiqua" w:hAnsi="Book Antiqua"/>
        </w:rPr>
        <w:t xml:space="preserve">* Originally delivered as </w:t>
      </w:r>
      <w:r w:rsidR="0051258D">
        <w:rPr>
          <w:rFonts w:ascii="Book Antiqua" w:hAnsi="Book Antiqua"/>
        </w:rPr>
        <w:t>a</w:t>
      </w:r>
      <w:r w:rsidR="002304CD">
        <w:rPr>
          <w:rFonts w:ascii="Book Antiqua" w:hAnsi="Book Antiqua"/>
        </w:rPr>
        <w:t xml:space="preserve">n address </w:t>
      </w:r>
      <w:r w:rsidR="0051258D">
        <w:rPr>
          <w:rFonts w:ascii="Book Antiqua" w:hAnsi="Book Antiqua"/>
        </w:rPr>
        <w:t xml:space="preserve">for the 2021 Legal Aid Criminal Law </w:t>
      </w:r>
      <w:r w:rsidR="000424A5">
        <w:rPr>
          <w:rFonts w:ascii="Book Antiqua" w:hAnsi="Book Antiqua"/>
        </w:rPr>
        <w:t>Conference held</w:t>
      </w:r>
      <w:r w:rsidR="00652FA2">
        <w:rPr>
          <w:rFonts w:ascii="Book Antiqua" w:hAnsi="Book Antiqua"/>
        </w:rPr>
        <w:t xml:space="preserve"> </w:t>
      </w:r>
      <w:r w:rsidR="00B36AAF">
        <w:rPr>
          <w:rFonts w:ascii="Book Antiqua" w:hAnsi="Book Antiqua"/>
        </w:rPr>
        <w:t xml:space="preserve">on 2 June 2021. The </w:t>
      </w:r>
      <w:r w:rsidR="002304CD">
        <w:rPr>
          <w:rFonts w:ascii="Book Antiqua" w:hAnsi="Book Antiqua"/>
        </w:rPr>
        <w:t>address</w:t>
      </w:r>
      <w:r w:rsidR="00B36AAF">
        <w:rPr>
          <w:rFonts w:ascii="Book Antiqua" w:hAnsi="Book Antiqua"/>
        </w:rPr>
        <w:t xml:space="preserve"> has been edited for publication</w:t>
      </w:r>
      <w:r w:rsidR="000A0EFF">
        <w:rPr>
          <w:rFonts w:ascii="Book Antiqua" w:hAnsi="Book Antiqua"/>
        </w:rPr>
        <w:t>.</w:t>
      </w:r>
      <w:r>
        <w:rPr>
          <w:rFonts w:ascii="Book Antiqua" w:hAnsi="Book Antiqua"/>
        </w:rPr>
        <w:t xml:space="preserve"> </w:t>
      </w:r>
    </w:p>
    <w:p w14:paraId="6BF12BD5" w14:textId="7E33819A" w:rsidR="00333E88" w:rsidRPr="00287D8D" w:rsidRDefault="00333E88">
      <w:pPr>
        <w:pStyle w:val="FootnoteText"/>
        <w:rPr>
          <w:rFonts w:ascii="Book Antiqua" w:hAnsi="Book Antiqua"/>
        </w:rPr>
      </w:pPr>
      <w:r w:rsidRPr="00287D8D">
        <w:rPr>
          <w:rStyle w:val="FootnoteReference"/>
          <w:rFonts w:ascii="Book Antiqua" w:hAnsi="Book Antiqua"/>
        </w:rPr>
        <w:footnoteRef/>
      </w:r>
      <w:r w:rsidR="00EB340A">
        <w:rPr>
          <w:rFonts w:ascii="Book Antiqua" w:hAnsi="Book Antiqua"/>
        </w:rPr>
        <w:t xml:space="preserve"> </w:t>
      </w:r>
      <w:r w:rsidRPr="00287D8D">
        <w:rPr>
          <w:rFonts w:ascii="Book Antiqua" w:hAnsi="Book Antiqua"/>
        </w:rPr>
        <w:t xml:space="preserve">With thanks to my Research Assistant, Ms Elizabeth Chapman, for </w:t>
      </w:r>
      <w:r w:rsidR="00C541D0">
        <w:rPr>
          <w:rFonts w:ascii="Book Antiqua" w:hAnsi="Book Antiqua"/>
        </w:rPr>
        <w:t>her</w:t>
      </w:r>
      <w:r w:rsidRPr="00287D8D">
        <w:rPr>
          <w:rFonts w:ascii="Book Antiqua" w:hAnsi="Book Antiqua"/>
        </w:rPr>
        <w:t xml:space="preserve"> assistance in the preparation of this address</w:t>
      </w:r>
      <w:r w:rsidR="00CE718F">
        <w:rPr>
          <w:rFonts w:ascii="Book Antiqua" w:hAnsi="Book Antiqua"/>
        </w:rPr>
        <w:t>.</w:t>
      </w:r>
    </w:p>
  </w:footnote>
  <w:footnote w:id="3">
    <w:p w14:paraId="0787C96B" w14:textId="77777777" w:rsidR="00333E88" w:rsidRPr="00BF579D" w:rsidRDefault="00333E88" w:rsidP="00F1473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w:t>
      </w:r>
      <w:r w:rsidRPr="00161E75">
        <w:rPr>
          <w:rFonts w:ascii="Book Antiqua" w:hAnsi="Book Antiqua"/>
          <w:i/>
          <w:iCs/>
        </w:rPr>
        <w:t xml:space="preserve">Royal Commission </w:t>
      </w:r>
      <w:r w:rsidRPr="00BF579D">
        <w:rPr>
          <w:rFonts w:ascii="Book Antiqua" w:hAnsi="Book Antiqua"/>
          <w:i/>
          <w:iCs/>
        </w:rPr>
        <w:t xml:space="preserve">into Institutional Responses to Child Sexual Abuse </w:t>
      </w:r>
      <w:r w:rsidRPr="00BF579D">
        <w:rPr>
          <w:rFonts w:ascii="Book Antiqua" w:hAnsi="Book Antiqua"/>
        </w:rPr>
        <w:t>(Final Report, 15 December 2017) vols 1-17.</w:t>
      </w:r>
    </w:p>
  </w:footnote>
  <w:footnote w:id="4">
    <w:p w14:paraId="7F46BEB9" w14:textId="77777777" w:rsidR="00333E88" w:rsidRPr="00D870F0" w:rsidRDefault="00333E88" w:rsidP="00F1473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w:t>
      </w:r>
      <w:r w:rsidRPr="00161E75">
        <w:rPr>
          <w:rFonts w:ascii="Book Antiqua" w:hAnsi="Book Antiqua"/>
          <w:i/>
          <w:iCs/>
        </w:rPr>
        <w:t xml:space="preserve">Lazarus v R </w:t>
      </w:r>
      <w:r w:rsidRPr="00BF579D">
        <w:rPr>
          <w:rFonts w:ascii="Book Antiqua" w:hAnsi="Book Antiqua"/>
        </w:rPr>
        <w:t>[2016] NSWCCA 52</w:t>
      </w:r>
      <w:r>
        <w:rPr>
          <w:rFonts w:ascii="Book Antiqua" w:hAnsi="Book Antiqua"/>
        </w:rPr>
        <w:t xml:space="preserve">; </w:t>
      </w:r>
      <w:r>
        <w:rPr>
          <w:rFonts w:ascii="Book Antiqua" w:hAnsi="Book Antiqua"/>
          <w:i/>
          <w:iCs/>
        </w:rPr>
        <w:t>R v Lazarus</w:t>
      </w:r>
      <w:r>
        <w:rPr>
          <w:rFonts w:ascii="Book Antiqua" w:hAnsi="Book Antiqua"/>
        </w:rPr>
        <w:t xml:space="preserve"> [2017] NSWCCA 279.</w:t>
      </w:r>
    </w:p>
  </w:footnote>
  <w:footnote w:id="5">
    <w:p w14:paraId="580FA987" w14:textId="17854FC6" w:rsidR="00333E88" w:rsidRPr="00BE17FD" w:rsidRDefault="00333E88" w:rsidP="00F1473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w:t>
      </w:r>
      <w:r w:rsidR="00E61C7E">
        <w:rPr>
          <w:rFonts w:ascii="Book Antiqua" w:hAnsi="Book Antiqua"/>
        </w:rPr>
        <w:t xml:space="preserve">See, </w:t>
      </w:r>
      <w:proofErr w:type="spellStart"/>
      <w:r w:rsidR="00E61C7E">
        <w:rPr>
          <w:rFonts w:ascii="Book Antiqua" w:hAnsi="Book Antiqua"/>
        </w:rPr>
        <w:t>eg</w:t>
      </w:r>
      <w:proofErr w:type="spellEnd"/>
      <w:r w:rsidR="00E61C7E">
        <w:rPr>
          <w:rFonts w:ascii="Book Antiqua" w:hAnsi="Book Antiqua"/>
        </w:rPr>
        <w:t xml:space="preserve">, </w:t>
      </w:r>
      <w:r w:rsidRPr="00161E75">
        <w:rPr>
          <w:rFonts w:ascii="Book Antiqua" w:hAnsi="Book Antiqua"/>
        </w:rPr>
        <w:t>Lorna Knowles, ‘Finally, she can speak’</w:t>
      </w:r>
      <w:r w:rsidRPr="00BF579D">
        <w:rPr>
          <w:rFonts w:ascii="Book Antiqua" w:hAnsi="Book Antiqua"/>
        </w:rPr>
        <w:t xml:space="preserve">, </w:t>
      </w:r>
      <w:r w:rsidRPr="00BF579D">
        <w:rPr>
          <w:rFonts w:ascii="Book Antiqua" w:hAnsi="Book Antiqua"/>
          <w:i/>
          <w:iCs/>
        </w:rPr>
        <w:t xml:space="preserve">ABC </w:t>
      </w:r>
      <w:r w:rsidRPr="00BF579D">
        <w:rPr>
          <w:rFonts w:ascii="Book Antiqua" w:hAnsi="Book Antiqua"/>
        </w:rPr>
        <w:t xml:space="preserve">(online, 12 August 2019) </w:t>
      </w:r>
      <w:r w:rsidRPr="00BE17FD">
        <w:rPr>
          <w:rFonts w:ascii="Book Antiqua" w:hAnsi="Book Antiqua"/>
        </w:rPr>
        <w:t>&lt;</w:t>
      </w:r>
      <w:hyperlink r:id="rId1" w:history="1">
        <w:r w:rsidRPr="00AD3B64">
          <w:rPr>
            <w:rStyle w:val="Hyperlink"/>
            <w:rFonts w:ascii="Book Antiqua" w:hAnsi="Book Antiqua"/>
            <w:color w:val="auto"/>
          </w:rPr>
          <w:t>https://www.abc.net.au/news/2019-08-12/grace-tame-speaks-about-abuse-from-schoolteacher/11393044?nw=0</w:t>
        </w:r>
      </w:hyperlink>
      <w:r w:rsidRPr="00161E75">
        <w:rPr>
          <w:rFonts w:ascii="Book Antiqua" w:hAnsi="Book Antiqua"/>
        </w:rPr>
        <w:t>&gt;</w:t>
      </w:r>
      <w:r w:rsidRPr="00BE17FD">
        <w:rPr>
          <w:rFonts w:ascii="Book Antiqua" w:hAnsi="Book Antiqua"/>
        </w:rPr>
        <w:t>; Australian of the Year Awards 2021, ‘Grace Tame’, &lt;</w:t>
      </w:r>
      <w:hyperlink r:id="rId2" w:anchor=":~:text=TASNational%20RecipientAustralian%20of,and%20jailed%20for%20his%20crimes" w:history="1">
        <w:r w:rsidRPr="00AD3B64">
          <w:rPr>
            <w:rStyle w:val="Hyperlink"/>
            <w:rFonts w:ascii="Book Antiqua" w:hAnsi="Book Antiqua"/>
            <w:color w:val="auto"/>
          </w:rPr>
          <w:t>https://www.australianoftheyear.org.au/recipients/grace-tame/2297/#:~:text=TASNational%20RecipientAustralian%20of,and%20jailed%20for%20his%20crimes</w:t>
        </w:r>
      </w:hyperlink>
      <w:r w:rsidRPr="00161E75">
        <w:rPr>
          <w:rFonts w:ascii="Book Antiqua" w:hAnsi="Book Antiqua"/>
        </w:rPr>
        <w:t xml:space="preserve">&gt;. </w:t>
      </w:r>
    </w:p>
  </w:footnote>
  <w:footnote w:id="6">
    <w:p w14:paraId="6BE796A7" w14:textId="77777777" w:rsidR="00333E88" w:rsidRPr="00BE17FD" w:rsidRDefault="00333E88" w:rsidP="00F1473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New South Wales Law Reform Commission, </w:t>
      </w:r>
      <w:r w:rsidRPr="00AD3B64">
        <w:rPr>
          <w:rFonts w:ascii="Book Antiqua" w:hAnsi="Book Antiqua"/>
          <w:i/>
          <w:iCs/>
        </w:rPr>
        <w:t>Consent in relation to sexual offences</w:t>
      </w:r>
      <w:r w:rsidRPr="00161E75">
        <w:rPr>
          <w:rFonts w:ascii="Book Antiqua" w:hAnsi="Book Antiqua"/>
        </w:rPr>
        <w:t xml:space="preserve"> (Report No 148, </w:t>
      </w:r>
      <w:r w:rsidRPr="00BE17FD">
        <w:rPr>
          <w:rFonts w:ascii="Book Antiqua" w:hAnsi="Book Antiqua"/>
        </w:rPr>
        <w:t>September 2020).</w:t>
      </w:r>
    </w:p>
  </w:footnote>
  <w:footnote w:id="7">
    <w:p w14:paraId="2E8B731D" w14:textId="77777777" w:rsidR="00333E88" w:rsidRPr="00B26AAE" w:rsidRDefault="00333E88" w:rsidP="00F1473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Mark Speakman, Attorney General, Minister for the Prevention of Domestic Violence and Minister for Families, Communities and Disability Services, Sarah Mitchell, Minister for Education and Early Childhood Learning, </w:t>
      </w:r>
      <w:proofErr w:type="spellStart"/>
      <w:r w:rsidRPr="00161E75">
        <w:rPr>
          <w:rFonts w:ascii="Book Antiqua" w:hAnsi="Book Antiqua"/>
        </w:rPr>
        <w:t>Bronnie</w:t>
      </w:r>
      <w:proofErr w:type="spellEnd"/>
      <w:r w:rsidRPr="00161E75">
        <w:rPr>
          <w:rFonts w:ascii="Book Antiqua" w:hAnsi="Book Antiqua"/>
        </w:rPr>
        <w:t xml:space="preserve"> Taylor, Minist</w:t>
      </w:r>
      <w:r w:rsidRPr="00BE17FD">
        <w:rPr>
          <w:rFonts w:ascii="Book Antiqua" w:hAnsi="Book Antiqua"/>
        </w:rPr>
        <w:t>er for Mental Health, Regional Youth and Women, ‘Consent Law Reform’ (Media Release, Tuesday 25 May 2021) &lt;</w:t>
      </w:r>
      <w:hyperlink r:id="rId3" w:history="1">
        <w:r w:rsidRPr="00AD3B64">
          <w:rPr>
            <w:rStyle w:val="Hyperlink"/>
            <w:rFonts w:ascii="Book Antiqua" w:hAnsi="Book Antiqua"/>
            <w:color w:val="auto"/>
          </w:rPr>
          <w:t>https://inbrief.nswbar.asn.au/posts/08b347d11316f1372f3414b4c466afe4/attachment/AG%20media%20release.pdf</w:t>
        </w:r>
      </w:hyperlink>
      <w:r w:rsidRPr="00161E75">
        <w:rPr>
          <w:rFonts w:ascii="Book Antiqua" w:hAnsi="Book Antiqua"/>
        </w:rPr>
        <w:t xml:space="preserve">&gt;. </w:t>
      </w:r>
    </w:p>
  </w:footnote>
  <w:footnote w:id="8">
    <w:p w14:paraId="1DF2FBF1" w14:textId="120F4F4C" w:rsidR="00333E88" w:rsidRPr="00D47EEA" w:rsidRDefault="00333E88" w:rsidP="001B7F72">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NSW Bureau of Crimes Statistics and Research (‘BOCSAR’), </w:t>
      </w:r>
      <w:r w:rsidRPr="00D47EEA">
        <w:rPr>
          <w:rFonts w:ascii="Book Antiqua" w:hAnsi="Book Antiqua"/>
          <w:i/>
          <w:iCs/>
        </w:rPr>
        <w:t>NSW Recorded Crime Statistics Quarterly Update March 2021</w:t>
      </w:r>
      <w:r w:rsidRPr="00D47EEA">
        <w:rPr>
          <w:rFonts w:ascii="Book Antiqua" w:hAnsi="Book Antiqua"/>
        </w:rPr>
        <w:t xml:space="preserve"> (Report, March 202</w:t>
      </w:r>
      <w:r>
        <w:rPr>
          <w:rFonts w:ascii="Book Antiqua" w:hAnsi="Book Antiqua"/>
        </w:rPr>
        <w:t xml:space="preserve">1) </w:t>
      </w:r>
      <w:r w:rsidR="008D2735">
        <w:rPr>
          <w:rFonts w:ascii="Book Antiqua" w:hAnsi="Book Antiqua"/>
        </w:rPr>
        <w:t>16</w:t>
      </w:r>
      <w:r w:rsidRPr="00D47EEA">
        <w:rPr>
          <w:rFonts w:ascii="Book Antiqua" w:hAnsi="Book Antiqua"/>
        </w:rPr>
        <w:t>.</w:t>
      </w:r>
    </w:p>
  </w:footnote>
  <w:footnote w:id="9">
    <w:p w14:paraId="4BFB3B04" w14:textId="3A2BE82E"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w:t>
      </w:r>
    </w:p>
  </w:footnote>
  <w:footnote w:id="10">
    <w:p w14:paraId="16272390" w14:textId="26AB6AE5" w:rsidR="008D2735" w:rsidRPr="00B26AAE" w:rsidRDefault="008D2735" w:rsidP="008D2735">
      <w:pPr>
        <w:pStyle w:val="FootnoteText"/>
        <w:rPr>
          <w:rFonts w:ascii="Book Antiqua" w:hAnsi="Book Antiqua"/>
        </w:rPr>
      </w:pPr>
      <w:r w:rsidRPr="006D6D02">
        <w:rPr>
          <w:rStyle w:val="FootnoteReference"/>
          <w:rFonts w:ascii="Book Antiqua" w:hAnsi="Book Antiqua"/>
        </w:rPr>
        <w:footnoteRef/>
      </w:r>
      <w:r w:rsidRPr="006D6D02">
        <w:rPr>
          <w:rFonts w:ascii="Book Antiqua" w:hAnsi="Book Antiqua"/>
        </w:rPr>
        <w:t xml:space="preserve"> </w:t>
      </w:r>
      <w:r w:rsidRPr="00287D8D">
        <w:rPr>
          <w:rFonts w:ascii="Book Antiqua" w:hAnsi="Book Antiqua"/>
        </w:rPr>
        <w:t>BOCSAR, ‘Sexual assault offences: Progress through the CJS’ (online</w:t>
      </w:r>
      <w:r w:rsidR="006A7EE1">
        <w:rPr>
          <w:rFonts w:ascii="Book Antiqua" w:hAnsi="Book Antiqua"/>
        </w:rPr>
        <w:t>, 2020</w:t>
      </w:r>
      <w:r w:rsidRPr="00287D8D">
        <w:rPr>
          <w:rFonts w:ascii="Book Antiqua" w:hAnsi="Book Antiqua"/>
        </w:rPr>
        <w:t>) &lt;</w:t>
      </w:r>
      <w:hyperlink r:id="rId4" w:history="1">
        <w:r w:rsidRPr="00287D8D">
          <w:rPr>
            <w:rStyle w:val="Hyperlink"/>
            <w:rFonts w:ascii="Book Antiqua" w:hAnsi="Book Antiqua"/>
          </w:rPr>
          <w:t>https://www.bocsar.nsw.gov.au/Pages/bocsar_pages/Sexual-assault.aspx</w:t>
        </w:r>
      </w:hyperlink>
      <w:r w:rsidRPr="006D6D02">
        <w:rPr>
          <w:rFonts w:ascii="Book Antiqua" w:hAnsi="Book Antiqua"/>
        </w:rPr>
        <w:t>&gt;</w:t>
      </w:r>
      <w:r w:rsidRPr="00B26AAE">
        <w:rPr>
          <w:rFonts w:ascii="Book Antiqua" w:hAnsi="Book Antiqua"/>
        </w:rPr>
        <w:t xml:space="preserve"> </w:t>
      </w:r>
    </w:p>
  </w:footnote>
  <w:footnote w:id="11">
    <w:p w14:paraId="0862177C" w14:textId="2EB75194" w:rsidR="008D2735" w:rsidRPr="008D2735" w:rsidRDefault="008D2735">
      <w:pPr>
        <w:pStyle w:val="FootnoteText"/>
        <w:rPr>
          <w:rFonts w:ascii="Book Antiqua" w:hAnsi="Book Antiqua"/>
        </w:rPr>
      </w:pPr>
      <w:r w:rsidRPr="008D2735">
        <w:rPr>
          <w:rStyle w:val="FootnoteReference"/>
          <w:rFonts w:ascii="Book Antiqua" w:hAnsi="Book Antiqua"/>
        </w:rPr>
        <w:footnoteRef/>
      </w:r>
      <w:r w:rsidRPr="008D2735">
        <w:rPr>
          <w:rFonts w:ascii="Book Antiqua" w:hAnsi="Book Antiqua"/>
        </w:rPr>
        <w:t xml:space="preserve"> BOCSAR, </w:t>
      </w:r>
      <w:r w:rsidRPr="008D2735">
        <w:rPr>
          <w:rFonts w:ascii="Book Antiqua" w:hAnsi="Book Antiqua"/>
          <w:i/>
          <w:iCs/>
        </w:rPr>
        <w:t>NSW Recorded Crime Statistics Quarterly Update March 2021</w:t>
      </w:r>
      <w:r w:rsidRPr="008D2735">
        <w:rPr>
          <w:rFonts w:ascii="Book Antiqua" w:hAnsi="Book Antiqua"/>
        </w:rPr>
        <w:t xml:space="preserve"> (n 7) 16.</w:t>
      </w:r>
    </w:p>
  </w:footnote>
  <w:footnote w:id="12">
    <w:p w14:paraId="0DF9FC72" w14:textId="57B67892"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w:t>
      </w:r>
      <w:r w:rsidRPr="006D6D02">
        <w:rPr>
          <w:rFonts w:ascii="Book Antiqua" w:hAnsi="Book Antiqua"/>
        </w:rPr>
        <w:t>BOCSAR, ‘Domestic v</w:t>
      </w:r>
      <w:r w:rsidRPr="00161E75">
        <w:rPr>
          <w:rFonts w:ascii="Book Antiqua" w:hAnsi="Book Antiqua"/>
        </w:rPr>
        <w:t>iolence statistics for NSW: DV Murder</w:t>
      </w:r>
      <w:r w:rsidRPr="00DA7366">
        <w:rPr>
          <w:rFonts w:ascii="Book Antiqua" w:hAnsi="Book Antiqua"/>
        </w:rPr>
        <w:t>’ (online, 2020) &lt;</w:t>
      </w:r>
      <w:hyperlink r:id="rId5" w:history="1">
        <w:r w:rsidRPr="00D47EEA">
          <w:rPr>
            <w:rStyle w:val="Hyperlink"/>
            <w:rFonts w:ascii="Book Antiqua" w:hAnsi="Book Antiqua"/>
          </w:rPr>
          <w:t>https://www.bocsar.nsw.gov.au/Pages/bocsar_pages/Domestic-Violence.aspx</w:t>
        </w:r>
      </w:hyperlink>
      <w:r w:rsidRPr="00D47EEA">
        <w:rPr>
          <w:rFonts w:ascii="Book Antiqua" w:hAnsi="Book Antiqua"/>
        </w:rPr>
        <w:t>&gt;</w:t>
      </w:r>
      <w:r w:rsidRPr="006D6D02">
        <w:rPr>
          <w:rFonts w:ascii="Book Antiqua" w:hAnsi="Book Antiqua"/>
        </w:rPr>
        <w:t>.</w:t>
      </w:r>
    </w:p>
  </w:footnote>
  <w:footnote w:id="13">
    <w:p w14:paraId="3FACB677" w14:textId="1D3F55F5" w:rsidR="00333E88" w:rsidRDefault="00333E88">
      <w:pPr>
        <w:pStyle w:val="FootnoteText"/>
      </w:pPr>
      <w:r>
        <w:rPr>
          <w:rStyle w:val="FootnoteReference"/>
        </w:rPr>
        <w:footnoteRef/>
      </w:r>
      <w:r>
        <w:t xml:space="preserve"> </w:t>
      </w:r>
      <w:r>
        <w:rPr>
          <w:rFonts w:ascii="Book Antiqua" w:hAnsi="Book Antiqua"/>
        </w:rPr>
        <w:t xml:space="preserve">Joint Standing Committee on Coercive Control, Parliament of New South Wales, </w:t>
      </w:r>
      <w:r w:rsidRPr="00D47EEA">
        <w:rPr>
          <w:rFonts w:ascii="Book Antiqua" w:hAnsi="Book Antiqua"/>
          <w:i/>
          <w:iCs/>
        </w:rPr>
        <w:t xml:space="preserve">Coercive Control in </w:t>
      </w:r>
      <w:r>
        <w:rPr>
          <w:rFonts w:ascii="Book Antiqua" w:hAnsi="Book Antiqua"/>
          <w:i/>
          <w:iCs/>
        </w:rPr>
        <w:t>Domestic Relationships</w:t>
      </w:r>
      <w:r w:rsidRPr="00B26AAE">
        <w:rPr>
          <w:rFonts w:ascii="Book Antiqua" w:hAnsi="Book Antiqua"/>
        </w:rPr>
        <w:t xml:space="preserve"> (Report 1/57, 30 June 2021).</w:t>
      </w:r>
    </w:p>
  </w:footnote>
  <w:footnote w:id="14">
    <w:p w14:paraId="79C9A874" w14:textId="67A1CB84" w:rsidR="00333E88" w:rsidRPr="00B26AAE" w:rsidRDefault="00333E88" w:rsidP="00AB2ED3">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Matthew Hale</w:t>
      </w:r>
      <w:r>
        <w:rPr>
          <w:rFonts w:ascii="Book Antiqua" w:hAnsi="Book Antiqua"/>
        </w:rPr>
        <w:t>,</w:t>
      </w:r>
      <w:r w:rsidRPr="00B26AAE">
        <w:rPr>
          <w:rFonts w:ascii="Book Antiqua" w:hAnsi="Book Antiqua"/>
        </w:rPr>
        <w:t xml:space="preserve"> </w:t>
      </w:r>
      <w:r w:rsidRPr="00B26AAE">
        <w:rPr>
          <w:rFonts w:ascii="Book Antiqua" w:hAnsi="Book Antiqua"/>
          <w:i/>
          <w:iCs/>
        </w:rPr>
        <w:t xml:space="preserve">Historia </w:t>
      </w:r>
      <w:proofErr w:type="spellStart"/>
      <w:r w:rsidRPr="00B26AAE">
        <w:rPr>
          <w:rFonts w:ascii="Book Antiqua" w:hAnsi="Book Antiqua"/>
          <w:i/>
          <w:iCs/>
        </w:rPr>
        <w:t>Placitorum</w:t>
      </w:r>
      <w:proofErr w:type="spellEnd"/>
      <w:r w:rsidRPr="00B26AAE">
        <w:rPr>
          <w:rFonts w:ascii="Book Antiqua" w:hAnsi="Book Antiqua"/>
          <w:i/>
          <w:iCs/>
        </w:rPr>
        <w:t xml:space="preserve"> Coronae </w:t>
      </w:r>
      <w:r>
        <w:rPr>
          <w:rFonts w:ascii="Book Antiqua" w:hAnsi="Book Antiqua"/>
        </w:rPr>
        <w:t>v</w:t>
      </w:r>
      <w:r w:rsidRPr="00B26AAE">
        <w:rPr>
          <w:rFonts w:ascii="Book Antiqua" w:hAnsi="Book Antiqua"/>
        </w:rPr>
        <w:t>ol 1 (1736)</w:t>
      </w:r>
      <w:r>
        <w:rPr>
          <w:rFonts w:ascii="Book Antiqua" w:hAnsi="Book Antiqua"/>
        </w:rPr>
        <w:t xml:space="preserve"> </w:t>
      </w:r>
      <w:proofErr w:type="spellStart"/>
      <w:r>
        <w:rPr>
          <w:rFonts w:ascii="Book Antiqua" w:hAnsi="Book Antiqua"/>
        </w:rPr>
        <w:t>ch</w:t>
      </w:r>
      <w:proofErr w:type="spellEnd"/>
      <w:r>
        <w:rPr>
          <w:rFonts w:ascii="Book Antiqua" w:hAnsi="Book Antiqua"/>
        </w:rPr>
        <w:t xml:space="preserve"> 58,</w:t>
      </w:r>
      <w:r w:rsidRPr="00B26AAE">
        <w:rPr>
          <w:rFonts w:ascii="Book Antiqua" w:hAnsi="Book Antiqua"/>
        </w:rPr>
        <w:t xml:space="preserve"> 629, in Brown et al, </w:t>
      </w:r>
      <w:r w:rsidRPr="00B26AAE">
        <w:rPr>
          <w:rFonts w:ascii="Book Antiqua" w:hAnsi="Book Antiqua"/>
          <w:i/>
          <w:iCs/>
        </w:rPr>
        <w:t xml:space="preserve">Criminal Laws </w:t>
      </w:r>
      <w:r w:rsidRPr="00B26AAE">
        <w:rPr>
          <w:rFonts w:ascii="Book Antiqua" w:hAnsi="Book Antiqua"/>
        </w:rPr>
        <w:t xml:space="preserve">(Federation Press, 2014) 662.  </w:t>
      </w:r>
    </w:p>
  </w:footnote>
  <w:footnote w:id="15">
    <w:p w14:paraId="5702DB19" w14:textId="77777777" w:rsidR="00333E88" w:rsidRPr="00B26AAE" w:rsidRDefault="00333E88" w:rsidP="0019327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cs="Arial"/>
          <w:i/>
          <w:iCs/>
        </w:rPr>
        <w:t xml:space="preserve"> Children (Criminal Proceedings Act) 1987</w:t>
      </w:r>
      <w:r w:rsidRPr="00B26AAE">
        <w:rPr>
          <w:rFonts w:ascii="Book Antiqua" w:hAnsi="Book Antiqua"/>
        </w:rPr>
        <w:t xml:space="preserve"> (NSW) s 5. </w:t>
      </w:r>
    </w:p>
  </w:footnote>
  <w:footnote w:id="16">
    <w:p w14:paraId="239C3B7B" w14:textId="77777777" w:rsidR="00333E88" w:rsidRDefault="00333E88" w:rsidP="00193270">
      <w:pPr>
        <w:pStyle w:val="FootnoteText"/>
      </w:pPr>
      <w:r>
        <w:rPr>
          <w:rStyle w:val="FootnoteReference"/>
        </w:rPr>
        <w:footnoteRef/>
      </w:r>
      <w:r>
        <w:t xml:space="preserve"> </w:t>
      </w:r>
      <w:r w:rsidRPr="00B26AAE">
        <w:rPr>
          <w:rFonts w:ascii="Book Antiqua" w:hAnsi="Book Antiqua"/>
        </w:rPr>
        <w:t>(2016) 259 CLR 641</w:t>
      </w:r>
      <w:r>
        <w:rPr>
          <w:rFonts w:ascii="Book Antiqua" w:hAnsi="Book Antiqua"/>
        </w:rPr>
        <w:t>.</w:t>
      </w:r>
    </w:p>
  </w:footnote>
  <w:footnote w:id="17">
    <w:p w14:paraId="3BA298A7" w14:textId="77777777" w:rsidR="00333E88" w:rsidRPr="00B26AAE" w:rsidRDefault="00333E88" w:rsidP="0019327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Ibid at</w:t>
      </w:r>
      <w:r w:rsidRPr="00B26AAE">
        <w:rPr>
          <w:rFonts w:ascii="Book Antiqua" w:hAnsi="Book Antiqua"/>
        </w:rPr>
        <w:t xml:space="preserve"> [32]-[36] (</w:t>
      </w:r>
      <w:proofErr w:type="spellStart"/>
      <w:r w:rsidRPr="00B26AAE">
        <w:rPr>
          <w:rFonts w:ascii="Book Antiqua" w:hAnsi="Book Antiqua"/>
        </w:rPr>
        <w:t>Kiefel</w:t>
      </w:r>
      <w:proofErr w:type="spellEnd"/>
      <w:r w:rsidRPr="00B26AAE">
        <w:rPr>
          <w:rFonts w:ascii="Book Antiqua" w:hAnsi="Book Antiqua"/>
        </w:rPr>
        <w:t xml:space="preserve">, Bell, </w:t>
      </w:r>
      <w:proofErr w:type="gramStart"/>
      <w:r w:rsidRPr="00B26AAE">
        <w:rPr>
          <w:rFonts w:ascii="Book Antiqua" w:hAnsi="Book Antiqua"/>
        </w:rPr>
        <w:t>Keane</w:t>
      </w:r>
      <w:proofErr w:type="gramEnd"/>
      <w:r w:rsidRPr="00B26AAE">
        <w:rPr>
          <w:rFonts w:ascii="Book Antiqua" w:hAnsi="Book Antiqua"/>
        </w:rPr>
        <w:t xml:space="preserve"> and Gordon JJ). </w:t>
      </w:r>
    </w:p>
  </w:footnote>
  <w:footnote w:id="18">
    <w:p w14:paraId="485B9FFC" w14:textId="2187D7DC"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(2012) 245 CLR 355.  </w:t>
      </w:r>
    </w:p>
  </w:footnote>
  <w:footnote w:id="19">
    <w:p w14:paraId="19E7E833" w14:textId="77777777" w:rsidR="00333E88" w:rsidRPr="00B26AAE" w:rsidRDefault="00333E88" w:rsidP="00CD5B51">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 xml:space="preserve">Criminal Law Consolidation Act 1935 </w:t>
      </w:r>
      <w:r w:rsidRPr="00B26AAE">
        <w:rPr>
          <w:rFonts w:ascii="Book Antiqua" w:hAnsi="Book Antiqua"/>
        </w:rPr>
        <w:t xml:space="preserve">(SA). </w:t>
      </w:r>
    </w:p>
  </w:footnote>
  <w:footnote w:id="20">
    <w:p w14:paraId="70C39B34" w14:textId="4929DB3B" w:rsidR="00333E88" w:rsidRPr="00B26AAE" w:rsidRDefault="00333E88" w:rsidP="00CD5B51">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PGA v The Queen</w:t>
      </w:r>
      <w:r w:rsidRPr="00B26AAE">
        <w:rPr>
          <w:rFonts w:ascii="Book Antiqua" w:hAnsi="Book Antiqua"/>
        </w:rPr>
        <w:t xml:space="preserve"> (2012) 245 CLR 355, [6</w:t>
      </w:r>
      <w:r>
        <w:rPr>
          <w:rFonts w:ascii="Book Antiqua" w:hAnsi="Book Antiqua"/>
        </w:rPr>
        <w:t>4</w:t>
      </w:r>
      <w:r w:rsidRPr="00B26AAE">
        <w:rPr>
          <w:rFonts w:ascii="Book Antiqua" w:hAnsi="Book Antiqua"/>
        </w:rPr>
        <w:t xml:space="preserve">] (French CJ, </w:t>
      </w:r>
      <w:proofErr w:type="spellStart"/>
      <w:r w:rsidRPr="00B26AAE">
        <w:rPr>
          <w:rFonts w:ascii="Book Antiqua" w:hAnsi="Book Antiqua"/>
        </w:rPr>
        <w:t>Gummow</w:t>
      </w:r>
      <w:proofErr w:type="spellEnd"/>
      <w:r w:rsidRPr="00B26AAE">
        <w:rPr>
          <w:rFonts w:ascii="Book Antiqua" w:hAnsi="Book Antiqua"/>
        </w:rPr>
        <w:t xml:space="preserve">, Hayne, </w:t>
      </w:r>
      <w:proofErr w:type="spellStart"/>
      <w:r w:rsidRPr="00B26AAE">
        <w:rPr>
          <w:rFonts w:ascii="Book Antiqua" w:hAnsi="Book Antiqua"/>
        </w:rPr>
        <w:t>Crennan</w:t>
      </w:r>
      <w:proofErr w:type="spellEnd"/>
      <w:r w:rsidRPr="00B26AAE">
        <w:rPr>
          <w:rFonts w:ascii="Book Antiqua" w:hAnsi="Book Antiqua"/>
        </w:rPr>
        <w:t xml:space="preserve"> and </w:t>
      </w:r>
      <w:proofErr w:type="spellStart"/>
      <w:r w:rsidRPr="00B26AAE">
        <w:rPr>
          <w:rFonts w:ascii="Book Antiqua" w:hAnsi="Book Antiqua"/>
        </w:rPr>
        <w:t>Kiefel</w:t>
      </w:r>
      <w:proofErr w:type="spellEnd"/>
      <w:r w:rsidRPr="00B26AAE">
        <w:rPr>
          <w:rFonts w:ascii="Book Antiqua" w:hAnsi="Book Antiqua"/>
        </w:rPr>
        <w:t xml:space="preserve"> JJ). </w:t>
      </w:r>
    </w:p>
  </w:footnote>
  <w:footnote w:id="21">
    <w:p w14:paraId="7E1555D1" w14:textId="794F3992"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00070026">
        <w:rPr>
          <w:rFonts w:ascii="Book Antiqua" w:hAnsi="Book Antiqua"/>
        </w:rPr>
        <w:t xml:space="preserve">See, </w:t>
      </w:r>
      <w:proofErr w:type="spellStart"/>
      <w:r w:rsidR="00070026">
        <w:rPr>
          <w:rFonts w:ascii="Book Antiqua" w:hAnsi="Book Antiqua"/>
        </w:rPr>
        <w:t>eg</w:t>
      </w:r>
      <w:proofErr w:type="spellEnd"/>
      <w:r w:rsidR="00070026">
        <w:rPr>
          <w:rFonts w:ascii="Book Antiqua" w:hAnsi="Book Antiqua"/>
        </w:rPr>
        <w:t>,</w:t>
      </w:r>
      <w:r w:rsidR="00070026" w:rsidRPr="00B26AAE">
        <w:rPr>
          <w:rFonts w:ascii="Book Antiqua" w:hAnsi="Book Antiqua"/>
        </w:rPr>
        <w:t xml:space="preserve"> Elizabeth She</w:t>
      </w:r>
      <w:r w:rsidR="00070026">
        <w:rPr>
          <w:rFonts w:ascii="Book Antiqua" w:hAnsi="Book Antiqua"/>
        </w:rPr>
        <w:t>eh</w:t>
      </w:r>
      <w:r w:rsidR="00070026" w:rsidRPr="00B26AAE">
        <w:rPr>
          <w:rFonts w:ascii="Book Antiqua" w:hAnsi="Book Antiqua"/>
        </w:rPr>
        <w:t>y</w:t>
      </w:r>
      <w:r w:rsidR="00070026">
        <w:rPr>
          <w:rFonts w:ascii="Book Antiqua" w:hAnsi="Book Antiqua"/>
        </w:rPr>
        <w:t>,</w:t>
      </w:r>
      <w:r w:rsidR="00070026" w:rsidRPr="00B26AAE">
        <w:rPr>
          <w:rFonts w:ascii="Book Antiqua" w:hAnsi="Book Antiqua"/>
        </w:rPr>
        <w:t xml:space="preserve"> ‘Evidence Law and ‘Credibility Testing’ of Women: A Comment on </w:t>
      </w:r>
      <w:r w:rsidR="00070026" w:rsidRPr="00811A34">
        <w:rPr>
          <w:rFonts w:ascii="Book Antiqua" w:hAnsi="Book Antiqua"/>
          <w:i/>
          <w:iCs/>
        </w:rPr>
        <w:t>E</w:t>
      </w:r>
      <w:r w:rsidR="00070026" w:rsidRPr="00B26AAE">
        <w:rPr>
          <w:rFonts w:ascii="Book Antiqua" w:hAnsi="Book Antiqua"/>
          <w:i/>
          <w:iCs/>
        </w:rPr>
        <w:t xml:space="preserve"> </w:t>
      </w:r>
      <w:r w:rsidR="00070026" w:rsidRPr="00B26AAE">
        <w:rPr>
          <w:rFonts w:ascii="Book Antiqua" w:hAnsi="Book Antiqua"/>
        </w:rPr>
        <w:t xml:space="preserve">Case’ (2002) 2(2) </w:t>
      </w:r>
      <w:r w:rsidR="00070026" w:rsidRPr="00B26AAE">
        <w:rPr>
          <w:rFonts w:ascii="Book Antiqua" w:hAnsi="Book Antiqua"/>
          <w:i/>
          <w:iCs/>
        </w:rPr>
        <w:t xml:space="preserve">Queensland University of Technology Law and Justice Journal </w:t>
      </w:r>
      <w:r w:rsidR="00070026" w:rsidRPr="00B26AAE">
        <w:rPr>
          <w:rFonts w:ascii="Book Antiqua" w:hAnsi="Book Antiqua"/>
        </w:rPr>
        <w:t>157</w:t>
      </w:r>
      <w:r w:rsidR="00070026">
        <w:rPr>
          <w:rFonts w:ascii="Book Antiqua" w:hAnsi="Book Antiqua"/>
        </w:rPr>
        <w:t>, 168</w:t>
      </w:r>
      <w:r>
        <w:rPr>
          <w:rFonts w:ascii="Book Antiqua" w:hAnsi="Book Antiqua"/>
        </w:rPr>
        <w:t>.</w:t>
      </w:r>
      <w:r w:rsidRPr="00B26AAE">
        <w:rPr>
          <w:rFonts w:ascii="Book Antiqua" w:hAnsi="Book Antiqua"/>
          <w:i/>
          <w:iCs/>
        </w:rPr>
        <w:t xml:space="preserve"> </w:t>
      </w:r>
    </w:p>
  </w:footnote>
  <w:footnote w:id="22">
    <w:p w14:paraId="2106E6C2" w14:textId="3FC13BDC" w:rsidR="00333E88" w:rsidRDefault="00333E88">
      <w:pPr>
        <w:pStyle w:val="FootnoteText"/>
      </w:pPr>
      <w:r>
        <w:rPr>
          <w:rStyle w:val="FootnoteReference"/>
        </w:rPr>
        <w:footnoteRef/>
      </w:r>
      <w:r>
        <w:t xml:space="preserve"> </w:t>
      </w:r>
      <w:r>
        <w:rPr>
          <w:rFonts w:ascii="Book Antiqua" w:hAnsi="Book Antiqua"/>
        </w:rPr>
        <w:t xml:space="preserve">See, </w:t>
      </w:r>
      <w:proofErr w:type="spellStart"/>
      <w:r>
        <w:rPr>
          <w:rFonts w:ascii="Book Antiqua" w:hAnsi="Book Antiqua"/>
        </w:rPr>
        <w:t>eg</w:t>
      </w:r>
      <w:proofErr w:type="spellEnd"/>
      <w:r>
        <w:rPr>
          <w:rFonts w:ascii="Book Antiqua" w:hAnsi="Book Antiqua"/>
        </w:rPr>
        <w:t>,</w:t>
      </w:r>
      <w:r w:rsidRPr="00B26AAE">
        <w:rPr>
          <w:rFonts w:ascii="Book Antiqua" w:hAnsi="Book Antiqua"/>
        </w:rPr>
        <w:t xml:space="preserve"> </w:t>
      </w:r>
      <w:r w:rsidR="00070026">
        <w:rPr>
          <w:rFonts w:ascii="Book Antiqua" w:hAnsi="Book Antiqua"/>
        </w:rPr>
        <w:t xml:space="preserve">ibid </w:t>
      </w:r>
      <w:r>
        <w:rPr>
          <w:rFonts w:ascii="Book Antiqua" w:hAnsi="Book Antiqua"/>
        </w:rPr>
        <w:t>171.</w:t>
      </w:r>
    </w:p>
  </w:footnote>
  <w:footnote w:id="23">
    <w:p w14:paraId="138A39E0" w14:textId="04C44C9A"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 xml:space="preserve">See, </w:t>
      </w:r>
      <w:proofErr w:type="spellStart"/>
      <w:r>
        <w:rPr>
          <w:rFonts w:ascii="Book Antiqua" w:hAnsi="Book Antiqua"/>
        </w:rPr>
        <w:t>eg</w:t>
      </w:r>
      <w:proofErr w:type="spellEnd"/>
      <w:r>
        <w:rPr>
          <w:rFonts w:ascii="Book Antiqua" w:hAnsi="Book Antiqua"/>
        </w:rPr>
        <w:t>, ibid 169</w:t>
      </w:r>
      <w:r w:rsidRPr="00B26AAE">
        <w:rPr>
          <w:rFonts w:ascii="Book Antiqua" w:hAnsi="Book Antiqua"/>
        </w:rPr>
        <w:t xml:space="preserve">. </w:t>
      </w:r>
    </w:p>
  </w:footnote>
  <w:footnote w:id="24">
    <w:p w14:paraId="38DAFF19" w14:textId="23DC63AD"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 xml:space="preserve">See, </w:t>
      </w:r>
      <w:proofErr w:type="spellStart"/>
      <w:r>
        <w:rPr>
          <w:rFonts w:ascii="Book Antiqua" w:hAnsi="Book Antiqua"/>
        </w:rPr>
        <w:t>eg</w:t>
      </w:r>
      <w:proofErr w:type="spellEnd"/>
      <w:r>
        <w:rPr>
          <w:rFonts w:ascii="Book Antiqua" w:hAnsi="Book Antiqua"/>
        </w:rPr>
        <w:t>, i</w:t>
      </w:r>
      <w:r w:rsidRPr="00B26AAE">
        <w:rPr>
          <w:rFonts w:ascii="Book Antiqua" w:hAnsi="Book Antiqua"/>
        </w:rPr>
        <w:t>bid</w:t>
      </w:r>
      <w:r>
        <w:rPr>
          <w:rFonts w:ascii="Book Antiqua" w:hAnsi="Book Antiqua"/>
        </w:rPr>
        <w:t xml:space="preserve"> 171.</w:t>
      </w:r>
    </w:p>
  </w:footnote>
  <w:footnote w:id="25">
    <w:p w14:paraId="447928D0" w14:textId="58E8B4B2"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New South Wales, </w:t>
      </w:r>
      <w:r w:rsidRPr="00B26AAE">
        <w:rPr>
          <w:rFonts w:ascii="Book Antiqua" w:hAnsi="Book Antiqua"/>
          <w:i/>
          <w:iCs/>
        </w:rPr>
        <w:t xml:space="preserve">Parliamentary Debates, </w:t>
      </w:r>
      <w:r w:rsidRPr="00B26AAE">
        <w:rPr>
          <w:rFonts w:ascii="Book Antiqua" w:hAnsi="Book Antiqua"/>
        </w:rPr>
        <w:t xml:space="preserve">Legislative Assembly, 8 April 1981, 5452 (The Hon D P </w:t>
      </w:r>
      <w:proofErr w:type="spellStart"/>
      <w:r w:rsidRPr="00B26AAE">
        <w:rPr>
          <w:rFonts w:ascii="Book Antiqua" w:hAnsi="Book Antiqua"/>
        </w:rPr>
        <w:t>Landa</w:t>
      </w:r>
      <w:proofErr w:type="spellEnd"/>
      <w:r w:rsidRPr="00B26AAE">
        <w:rPr>
          <w:rFonts w:ascii="Book Antiqua" w:hAnsi="Book Antiqua"/>
        </w:rPr>
        <w:t>)</w:t>
      </w:r>
      <w:r>
        <w:rPr>
          <w:rFonts w:ascii="Book Antiqua" w:hAnsi="Book Antiqua"/>
        </w:rPr>
        <w:t>.</w:t>
      </w:r>
    </w:p>
  </w:footnote>
  <w:footnote w:id="26">
    <w:p w14:paraId="55F9B480" w14:textId="0C5B372D"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Crimes (Sexual Assault) Amendment Act 1981</w:t>
      </w:r>
      <w:r w:rsidRPr="00B26AAE">
        <w:rPr>
          <w:rFonts w:ascii="Book Antiqua" w:hAnsi="Book Antiqua"/>
        </w:rPr>
        <w:t xml:space="preserve"> (NSW)</w:t>
      </w:r>
      <w:r w:rsidR="00070026">
        <w:rPr>
          <w:rFonts w:ascii="Book Antiqua" w:hAnsi="Book Antiqua"/>
        </w:rPr>
        <w:t xml:space="preserve"> Schedule 1.</w:t>
      </w:r>
    </w:p>
  </w:footnote>
  <w:footnote w:id="27">
    <w:p w14:paraId="26B04050" w14:textId="0B3E1A2F" w:rsidR="00070026" w:rsidRDefault="00070026">
      <w:pPr>
        <w:pStyle w:val="FootnoteText"/>
      </w:pPr>
      <w:r>
        <w:rPr>
          <w:rStyle w:val="FootnoteReference"/>
        </w:rPr>
        <w:footnoteRef/>
      </w:r>
      <w:r>
        <w:t xml:space="preserve"> </w:t>
      </w:r>
      <w:r>
        <w:rPr>
          <w:rFonts w:ascii="Book Antiqua" w:hAnsi="Book Antiqua"/>
        </w:rPr>
        <w:t>BOCSAR</w:t>
      </w:r>
      <w:r w:rsidRPr="00B26AAE">
        <w:rPr>
          <w:rFonts w:ascii="Book Antiqua" w:hAnsi="Book Antiqua"/>
        </w:rPr>
        <w:t xml:space="preserve">, </w:t>
      </w:r>
      <w:r w:rsidRPr="00B26AAE">
        <w:rPr>
          <w:rFonts w:ascii="Book Antiqua" w:hAnsi="Book Antiqua"/>
          <w:i/>
          <w:iCs/>
        </w:rPr>
        <w:t xml:space="preserve">Characteristics of the Complainant, the </w:t>
      </w:r>
      <w:proofErr w:type="gramStart"/>
      <w:r w:rsidRPr="00B26AAE">
        <w:rPr>
          <w:rFonts w:ascii="Book Antiqua" w:hAnsi="Book Antiqua"/>
          <w:i/>
          <w:iCs/>
        </w:rPr>
        <w:t>Defendant</w:t>
      </w:r>
      <w:proofErr w:type="gramEnd"/>
      <w:r w:rsidRPr="00B26AAE">
        <w:rPr>
          <w:rFonts w:ascii="Book Antiqua" w:hAnsi="Book Antiqua"/>
          <w:i/>
          <w:iCs/>
        </w:rPr>
        <w:t xml:space="preserve"> and the Offence</w:t>
      </w:r>
      <w:r w:rsidRPr="00B26AAE">
        <w:rPr>
          <w:rFonts w:ascii="Book Antiqua" w:hAnsi="Book Antiqua"/>
        </w:rPr>
        <w:t xml:space="preserve"> (Interim Report No. 1, 1985); </w:t>
      </w:r>
      <w:r>
        <w:rPr>
          <w:rFonts w:ascii="Book Antiqua" w:hAnsi="Book Antiqua"/>
        </w:rPr>
        <w:t>BOCSAR</w:t>
      </w:r>
      <w:r w:rsidRPr="00B26AAE">
        <w:rPr>
          <w:rFonts w:ascii="Book Antiqua" w:hAnsi="Book Antiqua"/>
        </w:rPr>
        <w:t xml:space="preserve">, </w:t>
      </w:r>
      <w:r w:rsidRPr="00B26AAE">
        <w:rPr>
          <w:rFonts w:ascii="Book Antiqua" w:hAnsi="Book Antiqua"/>
          <w:i/>
          <w:iCs/>
        </w:rPr>
        <w:t>Sexual Assault-Court Outcome: Acquittals, Conviction and Sentence</w:t>
      </w:r>
      <w:r w:rsidRPr="00B26AAE">
        <w:rPr>
          <w:rFonts w:ascii="Book Antiqua" w:hAnsi="Book Antiqua"/>
        </w:rPr>
        <w:t xml:space="preserve"> (Interim Report No. 2, 1985)</w:t>
      </w:r>
      <w:r w:rsidRPr="00B26AAE">
        <w:rPr>
          <w:rFonts w:ascii="Book Antiqua" w:hAnsi="Book Antiqua"/>
          <w:i/>
          <w:iCs/>
        </w:rPr>
        <w:t>.</w:t>
      </w:r>
    </w:p>
  </w:footnote>
  <w:footnote w:id="28">
    <w:p w14:paraId="174BBEB5" w14:textId="765FF3EF" w:rsidR="00333E88" w:rsidRDefault="00333E88">
      <w:pPr>
        <w:pStyle w:val="FootnoteText"/>
      </w:pPr>
      <w:r>
        <w:rPr>
          <w:rStyle w:val="FootnoteReference"/>
        </w:rPr>
        <w:footnoteRef/>
      </w:r>
      <w:r>
        <w:t xml:space="preserve"> </w:t>
      </w:r>
      <w:r w:rsidR="00070026">
        <w:rPr>
          <w:rFonts w:ascii="Book Antiqua" w:hAnsi="Book Antiqua"/>
        </w:rPr>
        <w:t>Ibid.</w:t>
      </w:r>
    </w:p>
  </w:footnote>
  <w:footnote w:id="29">
    <w:p w14:paraId="2FCC4A38" w14:textId="74DA5C13"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 xml:space="preserve">Crimes (Amendment) Act 1989 </w:t>
      </w:r>
      <w:r w:rsidRPr="00B26AAE">
        <w:rPr>
          <w:rFonts w:ascii="Book Antiqua" w:hAnsi="Book Antiqua"/>
        </w:rPr>
        <w:t>(NSW)</w:t>
      </w:r>
      <w:r>
        <w:rPr>
          <w:rFonts w:ascii="Book Antiqua" w:hAnsi="Book Antiqua"/>
        </w:rPr>
        <w:t xml:space="preserve"> Schedule 1</w:t>
      </w:r>
      <w:r w:rsidRPr="00B26AAE">
        <w:rPr>
          <w:rFonts w:ascii="Book Antiqua" w:hAnsi="Book Antiqua"/>
        </w:rPr>
        <w:t>.</w:t>
      </w:r>
    </w:p>
  </w:footnote>
  <w:footnote w:id="30">
    <w:p w14:paraId="560BA3E5" w14:textId="3DB018D6" w:rsidR="00333E88" w:rsidRPr="00D47EEA" w:rsidRDefault="00333E88">
      <w:pPr>
        <w:pStyle w:val="FootnoteText"/>
        <w:rPr>
          <w:rFonts w:ascii="Book Antiqua" w:hAnsi="Book Antiqua"/>
          <w:i/>
          <w:iCs/>
        </w:rPr>
      </w:pPr>
      <w:r w:rsidRPr="00D47EEA">
        <w:rPr>
          <w:rStyle w:val="FootnoteReference"/>
          <w:rFonts w:ascii="Book Antiqua" w:hAnsi="Book Antiqua"/>
        </w:rPr>
        <w:footnoteRef/>
      </w:r>
      <w:r w:rsidRPr="00D47EEA">
        <w:rPr>
          <w:rFonts w:ascii="Book Antiqua" w:hAnsi="Book Antiqua"/>
        </w:rPr>
        <w:t xml:space="preserve"> </w:t>
      </w:r>
      <w:r w:rsidRPr="00161E75">
        <w:rPr>
          <w:rFonts w:ascii="Book Antiqua" w:hAnsi="Book Antiqua"/>
        </w:rPr>
        <w:t xml:space="preserve">Department for Women, </w:t>
      </w:r>
      <w:r w:rsidRPr="00161E75">
        <w:rPr>
          <w:rFonts w:ascii="Book Antiqua" w:hAnsi="Book Antiqua"/>
          <w:i/>
          <w:iCs/>
        </w:rPr>
        <w:t xml:space="preserve">Heroines of Fortitude: The Experiences of Women in Court as Victims of Sexual Assault </w:t>
      </w:r>
      <w:r w:rsidRPr="0037596D">
        <w:rPr>
          <w:rFonts w:ascii="Book Antiqua" w:hAnsi="Book Antiqua"/>
        </w:rPr>
        <w:t>(Report, November 1996).</w:t>
      </w:r>
    </w:p>
  </w:footnote>
  <w:footnote w:id="31">
    <w:p w14:paraId="20886217" w14:textId="77777777" w:rsidR="00333E88" w:rsidRDefault="00333E88" w:rsidP="00C6056B">
      <w:pPr>
        <w:pStyle w:val="FootnoteText"/>
      </w:pPr>
      <w:r w:rsidRPr="005852E8">
        <w:rPr>
          <w:rStyle w:val="FootnoteReference"/>
          <w:rFonts w:ascii="Book Antiqua" w:hAnsi="Book Antiqua"/>
        </w:rPr>
        <w:footnoteRef/>
      </w:r>
      <w:r w:rsidRPr="005852E8">
        <w:rPr>
          <w:rFonts w:ascii="Book Antiqua" w:hAnsi="Book Antiqua"/>
        </w:rPr>
        <w:t xml:space="preserve"> Ibid 2.</w:t>
      </w:r>
    </w:p>
  </w:footnote>
  <w:footnote w:id="32">
    <w:p w14:paraId="3A84A574" w14:textId="77777777" w:rsidR="00333E88" w:rsidRPr="00D47EEA" w:rsidRDefault="00333E88" w:rsidP="00C6056B">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 4.</w:t>
      </w:r>
    </w:p>
  </w:footnote>
  <w:footnote w:id="33">
    <w:p w14:paraId="64B562E0" w14:textId="77777777" w:rsidR="00333E88" w:rsidRPr="00D47EEA" w:rsidRDefault="00333E88" w:rsidP="00C6056B">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 7.</w:t>
      </w:r>
    </w:p>
  </w:footnote>
  <w:footnote w:id="34">
    <w:p w14:paraId="351ED93B" w14:textId="77777777" w:rsidR="00333E88" w:rsidRPr="00D47EEA" w:rsidRDefault="00333E88" w:rsidP="00C6056B">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w:t>
      </w:r>
    </w:p>
  </w:footnote>
  <w:footnote w:id="35">
    <w:p w14:paraId="7B807915" w14:textId="77777777" w:rsidR="00333E88" w:rsidRPr="00D47EEA" w:rsidRDefault="00333E88" w:rsidP="00C6056B">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w:t>
      </w:r>
    </w:p>
  </w:footnote>
  <w:footnote w:id="36">
    <w:p w14:paraId="4CB4D4AF" w14:textId="77777777" w:rsidR="00333E88" w:rsidRPr="005D3824" w:rsidRDefault="00333E88" w:rsidP="00C6056B">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Ibid 9. </w:t>
      </w:r>
    </w:p>
  </w:footnote>
  <w:footnote w:id="37">
    <w:p w14:paraId="61CFA976" w14:textId="77777777" w:rsidR="00333E88" w:rsidRDefault="00333E88" w:rsidP="002E703B">
      <w:pPr>
        <w:pStyle w:val="FootnoteText"/>
      </w:pPr>
      <w:r>
        <w:rPr>
          <w:rStyle w:val="FootnoteReference"/>
        </w:rPr>
        <w:footnoteRef/>
      </w:r>
      <w:r>
        <w:t xml:space="preserve"> </w:t>
      </w:r>
      <w:r w:rsidRPr="00B26AAE">
        <w:rPr>
          <w:rFonts w:ascii="Book Antiqua" w:hAnsi="Book Antiqua"/>
        </w:rPr>
        <w:t>Criminal Justice Sexual Offences Taskforce</w:t>
      </w:r>
      <w:r>
        <w:rPr>
          <w:rFonts w:ascii="Book Antiqua" w:hAnsi="Book Antiqua"/>
        </w:rPr>
        <w:t>,</w:t>
      </w:r>
      <w:r w:rsidRPr="00B26AAE">
        <w:rPr>
          <w:rFonts w:ascii="Book Antiqua" w:hAnsi="Book Antiqua"/>
        </w:rPr>
        <w:t xml:space="preserve"> Attorney General’s Department of NSW,</w:t>
      </w:r>
      <w:r>
        <w:rPr>
          <w:rFonts w:ascii="Book Antiqua" w:hAnsi="Book Antiqua"/>
        </w:rPr>
        <w:t xml:space="preserve"> </w:t>
      </w:r>
      <w:r w:rsidRPr="00811A34">
        <w:rPr>
          <w:rFonts w:ascii="Book Antiqua" w:hAnsi="Book Antiqua"/>
          <w:i/>
          <w:iCs/>
        </w:rPr>
        <w:t>Responding to Sexual Assault: the way forward</w:t>
      </w:r>
      <w:r w:rsidRPr="00161E75">
        <w:rPr>
          <w:rFonts w:ascii="Book Antiqua" w:hAnsi="Book Antiqua"/>
        </w:rPr>
        <w:t xml:space="preserve"> </w:t>
      </w:r>
      <w:r w:rsidRPr="00B26AAE">
        <w:rPr>
          <w:rFonts w:ascii="Book Antiqua" w:hAnsi="Book Antiqua"/>
        </w:rPr>
        <w:t>(</w:t>
      </w:r>
      <w:r>
        <w:rPr>
          <w:rFonts w:ascii="Book Antiqua" w:hAnsi="Book Antiqua"/>
        </w:rPr>
        <w:t>Report, December 2005</w:t>
      </w:r>
      <w:r w:rsidRPr="00B26AAE">
        <w:rPr>
          <w:rFonts w:ascii="Book Antiqua" w:hAnsi="Book Antiqua"/>
        </w:rPr>
        <w:t>)</w:t>
      </w:r>
      <w:r>
        <w:rPr>
          <w:rFonts w:ascii="Book Antiqua" w:hAnsi="Book Antiqua"/>
        </w:rPr>
        <w:t xml:space="preserve">. </w:t>
      </w:r>
      <w:r w:rsidRPr="00B26AAE">
        <w:rPr>
          <w:rFonts w:ascii="Book Antiqua" w:hAnsi="Book Antiqua"/>
        </w:rPr>
        <w:t>&lt;</w:t>
      </w:r>
      <w:hyperlink r:id="rId6" w:history="1">
        <w:r w:rsidRPr="00B26AAE">
          <w:rPr>
            <w:rStyle w:val="Hyperlink"/>
            <w:rFonts w:ascii="Book Antiqua" w:hAnsi="Book Antiqua"/>
          </w:rPr>
          <w:t>https://www.justice.nsw.gov.au/justicepolicy/Documents/cjsot_report.pdf</w:t>
        </w:r>
      </w:hyperlink>
      <w:r w:rsidRPr="00B26AAE">
        <w:rPr>
          <w:rFonts w:ascii="Book Antiqua" w:hAnsi="Book Antiqua"/>
        </w:rPr>
        <w:t>&gt;.</w:t>
      </w:r>
    </w:p>
  </w:footnote>
  <w:footnote w:id="38">
    <w:p w14:paraId="76A4FDAA" w14:textId="77777777" w:rsidR="00333E88" w:rsidRPr="00B26AAE" w:rsidRDefault="00333E88" w:rsidP="002E703B">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Ibid.</w:t>
      </w:r>
      <w:r w:rsidRPr="00B26AAE">
        <w:rPr>
          <w:rFonts w:ascii="Book Antiqua" w:hAnsi="Book Antiqua"/>
        </w:rPr>
        <w:t xml:space="preserve"> </w:t>
      </w:r>
    </w:p>
  </w:footnote>
  <w:footnote w:id="39">
    <w:p w14:paraId="0DDBE3A8" w14:textId="3DEAC92F" w:rsidR="00333E88" w:rsidRPr="00161E75" w:rsidRDefault="00333E88" w:rsidP="003D64A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w:t>
      </w:r>
      <w:r>
        <w:rPr>
          <w:rFonts w:ascii="Book Antiqua" w:hAnsi="Book Antiqua"/>
          <w:i/>
          <w:iCs/>
        </w:rPr>
        <w:t>Crimes Amendment (Sexual Assault Offences) Act 2007</w:t>
      </w:r>
      <w:r>
        <w:rPr>
          <w:rFonts w:ascii="Book Antiqua" w:hAnsi="Book Antiqua"/>
        </w:rPr>
        <w:t xml:space="preserve"> (NSW) Schedule 1.</w:t>
      </w:r>
      <w:r w:rsidRPr="00161E75">
        <w:rPr>
          <w:rFonts w:ascii="Book Antiqua" w:hAnsi="Book Antiqua"/>
        </w:rPr>
        <w:t xml:space="preserve"> </w:t>
      </w:r>
    </w:p>
  </w:footnote>
  <w:footnote w:id="40">
    <w:p w14:paraId="47B96704" w14:textId="4D46E6FA" w:rsidR="00333E88" w:rsidRPr="00161E75" w:rsidRDefault="00333E88" w:rsidP="003D64A0">
      <w:pPr>
        <w:pStyle w:val="FootnoteText"/>
        <w:rPr>
          <w:rFonts w:ascii="Book Antiqua" w:hAnsi="Book Antiqua"/>
        </w:rPr>
      </w:pPr>
      <w:r w:rsidRPr="00161E75">
        <w:rPr>
          <w:rStyle w:val="FootnoteReference"/>
          <w:rFonts w:ascii="Book Antiqua" w:hAnsi="Book Antiqua"/>
        </w:rPr>
        <w:footnoteRef/>
      </w:r>
      <w:r w:rsidRPr="00161E75">
        <w:rPr>
          <w:rFonts w:ascii="Book Antiqua" w:hAnsi="Book Antiqua"/>
        </w:rPr>
        <w:t xml:space="preserve"> </w:t>
      </w:r>
      <w:r>
        <w:rPr>
          <w:rFonts w:ascii="Book Antiqua" w:hAnsi="Book Antiqua"/>
        </w:rPr>
        <w:t>Ibid.</w:t>
      </w:r>
    </w:p>
  </w:footnote>
  <w:footnote w:id="41">
    <w:p w14:paraId="5C6AAEF5" w14:textId="77777777" w:rsidR="00333E88" w:rsidRPr="00B26AAE" w:rsidRDefault="00333E88" w:rsidP="008B6D93">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New South Wales, </w:t>
      </w:r>
      <w:r w:rsidRPr="00B26AAE">
        <w:rPr>
          <w:rFonts w:ascii="Book Antiqua" w:hAnsi="Book Antiqua"/>
          <w:i/>
          <w:iCs/>
        </w:rPr>
        <w:t xml:space="preserve">Parliamentary Debates, </w:t>
      </w:r>
      <w:r w:rsidRPr="00B26AAE">
        <w:rPr>
          <w:rFonts w:ascii="Book Antiqua" w:hAnsi="Book Antiqua"/>
        </w:rPr>
        <w:t xml:space="preserve">Legislative Council, 7 November 2007, 3584 (The Hon </w:t>
      </w:r>
      <w:proofErr w:type="spellStart"/>
      <w:r w:rsidRPr="00B26AAE">
        <w:rPr>
          <w:rFonts w:ascii="Book Antiqua" w:hAnsi="Book Antiqua"/>
        </w:rPr>
        <w:t>Hatzistergos</w:t>
      </w:r>
      <w:proofErr w:type="spellEnd"/>
      <w:r w:rsidRPr="00B26AAE">
        <w:rPr>
          <w:rFonts w:ascii="Book Antiqua" w:hAnsi="Book Antiqua"/>
        </w:rPr>
        <w:t xml:space="preserve">). </w:t>
      </w:r>
    </w:p>
  </w:footnote>
  <w:footnote w:id="42">
    <w:p w14:paraId="03C6DB01" w14:textId="77777777" w:rsidR="00333E88" w:rsidRPr="00B26AAE" w:rsidRDefault="00333E88" w:rsidP="008B6D93">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Ibid. </w:t>
      </w:r>
    </w:p>
  </w:footnote>
  <w:footnote w:id="43">
    <w:p w14:paraId="18905964" w14:textId="2F87E595" w:rsidR="00333E88" w:rsidRDefault="00333E88">
      <w:pPr>
        <w:pStyle w:val="FootnoteText"/>
      </w:pPr>
      <w:r>
        <w:rPr>
          <w:rStyle w:val="FootnoteReference"/>
        </w:rPr>
        <w:footnoteRef/>
      </w:r>
      <w:r>
        <w:t xml:space="preserve"> </w:t>
      </w:r>
      <w:r w:rsidRPr="00B26AAE">
        <w:rPr>
          <w:rFonts w:ascii="Book Antiqua" w:hAnsi="Book Antiqua"/>
        </w:rPr>
        <w:t>[2006] NSWCCA 256.</w:t>
      </w:r>
    </w:p>
  </w:footnote>
  <w:footnote w:id="44">
    <w:p w14:paraId="74408C13" w14:textId="3417DE10" w:rsidR="00333E88" w:rsidRPr="00B26AAE" w:rsidRDefault="00333E88" w:rsidP="00012AF4">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Ibid at</w:t>
      </w:r>
      <w:r w:rsidRPr="00B26AAE">
        <w:rPr>
          <w:rFonts w:ascii="Book Antiqua" w:hAnsi="Book Antiqua"/>
        </w:rPr>
        <w:t xml:space="preserve"> [9]. </w:t>
      </w:r>
    </w:p>
  </w:footnote>
  <w:footnote w:id="45">
    <w:p w14:paraId="39851498" w14:textId="56D8D570"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proofErr w:type="spellStart"/>
      <w:r w:rsidRPr="00D575A1">
        <w:rPr>
          <w:rFonts w:ascii="Book Antiqua" w:hAnsi="Book Antiqua"/>
        </w:rPr>
        <w:t>Natassia</w:t>
      </w:r>
      <w:proofErr w:type="spellEnd"/>
      <w:r w:rsidRPr="00D575A1">
        <w:rPr>
          <w:rFonts w:ascii="Book Antiqua" w:hAnsi="Book Antiqua"/>
        </w:rPr>
        <w:t xml:space="preserve"> </w:t>
      </w:r>
      <w:proofErr w:type="spellStart"/>
      <w:r w:rsidRPr="00D575A1">
        <w:rPr>
          <w:rFonts w:ascii="Book Antiqua" w:hAnsi="Book Antiqua"/>
        </w:rPr>
        <w:t>Chrysanthos</w:t>
      </w:r>
      <w:proofErr w:type="spellEnd"/>
      <w:r w:rsidRPr="00D575A1">
        <w:rPr>
          <w:rFonts w:ascii="Book Antiqua" w:hAnsi="Book Antiqua"/>
        </w:rPr>
        <w:t xml:space="preserve">, ‘It started on Instagram. Now Chanel’s petition is leading a sex education revolution’ </w:t>
      </w:r>
      <w:r w:rsidRPr="00D575A1">
        <w:rPr>
          <w:rFonts w:ascii="Book Antiqua" w:hAnsi="Book Antiqua"/>
          <w:i/>
          <w:iCs/>
        </w:rPr>
        <w:t xml:space="preserve">Sydney Morning Herald </w:t>
      </w:r>
      <w:r w:rsidRPr="00D575A1">
        <w:rPr>
          <w:rFonts w:ascii="Book Antiqua" w:hAnsi="Book Antiqua"/>
        </w:rPr>
        <w:t>(online, 6 March 2021) &lt;</w:t>
      </w:r>
      <w:hyperlink r:id="rId7" w:history="1">
        <w:r w:rsidRPr="00171A54">
          <w:rPr>
            <w:rStyle w:val="Hyperlink"/>
            <w:rFonts w:ascii="Book Antiqua" w:hAnsi="Book Antiqua"/>
          </w:rPr>
          <w:t>https://www.smh.com.au/national/it-started-on-instagram-now-chanel-s-petition-is-leading-a-sex-education-revolution-20210305-p5780k.html</w:t>
        </w:r>
      </w:hyperlink>
      <w:r w:rsidRPr="00D575A1">
        <w:rPr>
          <w:rFonts w:ascii="Book Antiqua" w:hAnsi="Book Antiqua"/>
        </w:rPr>
        <w:t xml:space="preserve">&gt;. </w:t>
      </w:r>
    </w:p>
  </w:footnote>
  <w:footnote w:id="46">
    <w:p w14:paraId="35CB1B61" w14:textId="0E91B3B0" w:rsidR="00333E88" w:rsidRPr="00C40F79" w:rsidRDefault="00333E88">
      <w:pPr>
        <w:pStyle w:val="FootnoteText"/>
        <w:rPr>
          <w:rFonts w:ascii="Book Antiqua" w:hAnsi="Book Antiqua"/>
        </w:rPr>
      </w:pPr>
      <w:r w:rsidRPr="00C40F79">
        <w:rPr>
          <w:rStyle w:val="FootnoteReference"/>
          <w:rFonts w:ascii="Book Antiqua" w:hAnsi="Book Antiqua"/>
        </w:rPr>
        <w:footnoteRef/>
      </w:r>
      <w:r w:rsidRPr="00C40F79">
        <w:rPr>
          <w:rFonts w:ascii="Book Antiqua" w:hAnsi="Book Antiqua"/>
        </w:rPr>
        <w:t xml:space="preserve"> The survey is based on the design of the 1996 Women’s Safety Survey</w:t>
      </w:r>
      <w:r w:rsidR="00C40F79">
        <w:rPr>
          <w:rFonts w:ascii="Book Antiqua" w:hAnsi="Book Antiqua"/>
        </w:rPr>
        <w:t xml:space="preserve">. See </w:t>
      </w:r>
      <w:r w:rsidR="00C40F79" w:rsidRPr="00B26AAE">
        <w:rPr>
          <w:rFonts w:ascii="Book Antiqua" w:hAnsi="Book Antiqua"/>
        </w:rPr>
        <w:t>Australian Bureau of Statistics,</w:t>
      </w:r>
      <w:r w:rsidR="00C40F79">
        <w:rPr>
          <w:rFonts w:ascii="Book Antiqua" w:hAnsi="Book Antiqua"/>
        </w:rPr>
        <w:t xml:space="preserve"> ‘Women’s Safety Survey’ (1996).</w:t>
      </w:r>
    </w:p>
  </w:footnote>
  <w:footnote w:id="47">
    <w:p w14:paraId="0031EBFE" w14:textId="1385BEF3" w:rsidR="00333E88" w:rsidRPr="00EE5C61" w:rsidRDefault="00333E88">
      <w:pPr>
        <w:pStyle w:val="FootnoteText"/>
        <w:rPr>
          <w:rFonts w:ascii="Book Antiqua" w:hAnsi="Book Antiqua"/>
        </w:rPr>
      </w:pPr>
      <w:r w:rsidRPr="00EE5C61">
        <w:rPr>
          <w:rStyle w:val="FootnoteReference"/>
          <w:rFonts w:ascii="Book Antiqua" w:hAnsi="Book Antiqua"/>
        </w:rPr>
        <w:footnoteRef/>
      </w:r>
      <w:r w:rsidRPr="00EE5C61">
        <w:rPr>
          <w:rFonts w:ascii="Book Antiqua" w:hAnsi="Book Antiqua"/>
        </w:rPr>
        <w:t xml:space="preserve"> Australian Bureau of Statistics, ‘Personal Safety, Australia’ (online, November 2017) &lt;</w:t>
      </w:r>
      <w:hyperlink r:id="rId8" w:history="1">
        <w:r w:rsidRPr="00EE5C61">
          <w:rPr>
            <w:rStyle w:val="Hyperlink"/>
            <w:rFonts w:ascii="Book Antiqua" w:hAnsi="Book Antiqua"/>
          </w:rPr>
          <w:t>https://www.abs.gov.au/statistics/people/crime-and-justice/personal-safety-australia/latest-release</w:t>
        </w:r>
      </w:hyperlink>
      <w:r w:rsidRPr="00EE5C61">
        <w:rPr>
          <w:rFonts w:ascii="Book Antiqua" w:hAnsi="Book Antiqua"/>
        </w:rPr>
        <w:t>&gt;</w:t>
      </w:r>
    </w:p>
  </w:footnote>
  <w:footnote w:id="48">
    <w:p w14:paraId="5C6DB474" w14:textId="3E05F1B3" w:rsidR="00743984" w:rsidRPr="00EE5C61" w:rsidRDefault="00743984">
      <w:pPr>
        <w:pStyle w:val="FootnoteText"/>
        <w:rPr>
          <w:rFonts w:ascii="Book Antiqua" w:hAnsi="Book Antiqua"/>
        </w:rPr>
      </w:pPr>
      <w:r w:rsidRPr="00EE5C61">
        <w:rPr>
          <w:rStyle w:val="FootnoteReference"/>
          <w:rFonts w:ascii="Book Antiqua" w:hAnsi="Book Antiqua"/>
        </w:rPr>
        <w:footnoteRef/>
      </w:r>
      <w:r w:rsidRPr="00EE5C61">
        <w:rPr>
          <w:rFonts w:ascii="Book Antiqua" w:hAnsi="Book Antiqua"/>
        </w:rPr>
        <w:t xml:space="preserve"> Ibid.</w:t>
      </w:r>
    </w:p>
  </w:footnote>
  <w:footnote w:id="49">
    <w:p w14:paraId="57062F7D" w14:textId="1C69A631" w:rsidR="00333E88" w:rsidRPr="006761C2" w:rsidRDefault="00333E88" w:rsidP="00DA3DC4">
      <w:pPr>
        <w:pStyle w:val="FootnoteText"/>
        <w:rPr>
          <w:rFonts w:ascii="Book Antiqua" w:hAnsi="Book Antiqua"/>
        </w:rPr>
      </w:pPr>
      <w:r w:rsidRPr="006761C2">
        <w:rPr>
          <w:rStyle w:val="FootnoteReference"/>
          <w:rFonts w:ascii="Book Antiqua" w:hAnsi="Book Antiqua"/>
        </w:rPr>
        <w:footnoteRef/>
      </w:r>
      <w:r w:rsidRPr="006761C2">
        <w:rPr>
          <w:rFonts w:ascii="Book Antiqua" w:hAnsi="Book Antiqua"/>
        </w:rPr>
        <w:t xml:space="preserve"> Ibid.</w:t>
      </w:r>
    </w:p>
  </w:footnote>
  <w:footnote w:id="50">
    <w:p w14:paraId="6A087098" w14:textId="2AA30E95" w:rsidR="00333E88" w:rsidRPr="00C82A67" w:rsidRDefault="00333E88" w:rsidP="00DA3DC4">
      <w:pPr>
        <w:pStyle w:val="FootnoteText"/>
        <w:rPr>
          <w:rFonts w:ascii="Book Antiqua" w:hAnsi="Book Antiqua"/>
        </w:rPr>
      </w:pPr>
      <w:r w:rsidRPr="006761C2">
        <w:rPr>
          <w:rStyle w:val="FootnoteReference"/>
          <w:rFonts w:ascii="Book Antiqua" w:hAnsi="Book Antiqua"/>
        </w:rPr>
        <w:footnoteRef/>
      </w:r>
      <w:r w:rsidRPr="006761C2">
        <w:rPr>
          <w:rFonts w:ascii="Book Antiqua" w:hAnsi="Book Antiqua"/>
        </w:rPr>
        <w:t xml:space="preserve"> BOCSAR, ‘Sexual assault offences: Progress through the CJS’ (n </w:t>
      </w:r>
      <w:r w:rsidR="00EE5C61" w:rsidRPr="006761C2">
        <w:rPr>
          <w:rFonts w:ascii="Book Antiqua" w:hAnsi="Book Antiqua"/>
        </w:rPr>
        <w:t>9</w:t>
      </w:r>
      <w:r w:rsidRPr="006761C2">
        <w:rPr>
          <w:rFonts w:ascii="Book Antiqua" w:hAnsi="Book Antiqua"/>
        </w:rPr>
        <w:t>).</w:t>
      </w:r>
    </w:p>
  </w:footnote>
  <w:footnote w:id="51">
    <w:p w14:paraId="524E3784" w14:textId="42100A5E" w:rsidR="00333E88" w:rsidRPr="005804B6" w:rsidRDefault="00333E88" w:rsidP="0044178B">
      <w:pPr>
        <w:pStyle w:val="FootnoteText"/>
        <w:contextualSpacing/>
        <w:rPr>
          <w:rFonts w:ascii="Book Antiqua" w:hAnsi="Book Antiqua"/>
        </w:rPr>
      </w:pPr>
      <w:r w:rsidRPr="005804B6">
        <w:rPr>
          <w:rStyle w:val="FootnoteReference"/>
          <w:rFonts w:ascii="Book Antiqua" w:hAnsi="Book Antiqua"/>
        </w:rPr>
        <w:footnoteRef/>
      </w:r>
      <w:r w:rsidRPr="005804B6">
        <w:rPr>
          <w:rFonts w:ascii="Book Antiqua" w:hAnsi="Book Antiqua"/>
        </w:rPr>
        <w:t xml:space="preserve"> See New South Wales Law Reform Commission, </w:t>
      </w:r>
      <w:r w:rsidRPr="005804B6">
        <w:rPr>
          <w:rFonts w:ascii="Book Antiqua" w:hAnsi="Book Antiqua"/>
          <w:i/>
          <w:iCs/>
        </w:rPr>
        <w:t>Consent in relation to sexual offences</w:t>
      </w:r>
      <w:r w:rsidRPr="005804B6">
        <w:rPr>
          <w:rFonts w:ascii="Book Antiqua" w:hAnsi="Book Antiqua"/>
        </w:rPr>
        <w:t xml:space="preserve"> (n </w:t>
      </w:r>
      <w:r w:rsidR="007D3A33">
        <w:rPr>
          <w:rFonts w:ascii="Book Antiqua" w:hAnsi="Book Antiqua"/>
        </w:rPr>
        <w:t>5</w:t>
      </w:r>
      <w:r w:rsidRPr="005804B6">
        <w:rPr>
          <w:rFonts w:ascii="Book Antiqua" w:hAnsi="Book Antiqua"/>
        </w:rPr>
        <w:t>).</w:t>
      </w:r>
    </w:p>
  </w:footnote>
  <w:footnote w:id="52">
    <w:p w14:paraId="1DB4AF01" w14:textId="60C09044" w:rsidR="00333E88" w:rsidRPr="005804B6" w:rsidRDefault="00333E88" w:rsidP="0044178B">
      <w:pPr>
        <w:pStyle w:val="FootnoteText"/>
        <w:contextualSpacing/>
        <w:rPr>
          <w:rFonts w:ascii="Book Antiqua" w:hAnsi="Book Antiqua"/>
        </w:rPr>
      </w:pPr>
      <w:r w:rsidRPr="005804B6">
        <w:rPr>
          <w:rStyle w:val="FootnoteReference"/>
          <w:rFonts w:ascii="Book Antiqua" w:hAnsi="Book Antiqua"/>
        </w:rPr>
        <w:footnoteRef/>
      </w:r>
      <w:r w:rsidRPr="005804B6">
        <w:rPr>
          <w:rFonts w:ascii="Book Antiqua" w:hAnsi="Book Antiqua"/>
        </w:rPr>
        <w:t xml:space="preserve"> Ibid recommendation 4.3.   </w:t>
      </w:r>
    </w:p>
  </w:footnote>
  <w:footnote w:id="53">
    <w:p w14:paraId="46A0DDC0" w14:textId="691A0A74" w:rsidR="00333E88" w:rsidRPr="005804B6" w:rsidRDefault="00333E88" w:rsidP="0044178B">
      <w:pPr>
        <w:pStyle w:val="NumParra"/>
        <w:numPr>
          <w:ilvl w:val="0"/>
          <w:numId w:val="0"/>
        </w:numPr>
        <w:spacing w:line="240" w:lineRule="auto"/>
        <w:contextualSpacing/>
        <w:rPr>
          <w:rFonts w:ascii="Book Antiqua" w:hAnsi="Book Antiqua"/>
          <w:sz w:val="20"/>
          <w:szCs w:val="20"/>
        </w:rPr>
      </w:pPr>
      <w:r w:rsidRPr="005804B6">
        <w:rPr>
          <w:rStyle w:val="FootnoteReference"/>
          <w:rFonts w:ascii="Book Antiqua" w:hAnsi="Book Antiqua"/>
          <w:sz w:val="20"/>
          <w:szCs w:val="20"/>
        </w:rPr>
        <w:footnoteRef/>
      </w:r>
      <w:r w:rsidRPr="005804B6">
        <w:rPr>
          <w:rFonts w:ascii="Book Antiqua" w:hAnsi="Book Antiqua"/>
          <w:sz w:val="20"/>
          <w:szCs w:val="20"/>
        </w:rPr>
        <w:t xml:space="preserve"> Ibid recommendation 5.4.</w:t>
      </w:r>
    </w:p>
  </w:footnote>
  <w:footnote w:id="54">
    <w:p w14:paraId="2467E61E" w14:textId="270FE819" w:rsidR="00333E88" w:rsidRPr="005804B6" w:rsidRDefault="00333E88" w:rsidP="0044178B">
      <w:pPr>
        <w:pStyle w:val="NumParra"/>
        <w:numPr>
          <w:ilvl w:val="0"/>
          <w:numId w:val="0"/>
        </w:numPr>
        <w:spacing w:line="240" w:lineRule="auto"/>
        <w:contextualSpacing/>
        <w:rPr>
          <w:rFonts w:ascii="Book Antiqua" w:hAnsi="Book Antiqua"/>
          <w:sz w:val="20"/>
          <w:szCs w:val="20"/>
        </w:rPr>
      </w:pPr>
      <w:r w:rsidRPr="005804B6">
        <w:rPr>
          <w:rFonts w:ascii="Book Antiqua" w:hAnsi="Book Antiqua"/>
          <w:sz w:val="20"/>
          <w:szCs w:val="20"/>
          <w:vertAlign w:val="superscript"/>
        </w:rPr>
        <w:footnoteRef/>
      </w:r>
      <w:r w:rsidRPr="005804B6">
        <w:rPr>
          <w:rFonts w:ascii="Book Antiqua" w:hAnsi="Book Antiqua"/>
          <w:sz w:val="20"/>
          <w:szCs w:val="20"/>
        </w:rPr>
        <w:t xml:space="preserve"> Ibid recommendation 5.5.</w:t>
      </w:r>
    </w:p>
  </w:footnote>
  <w:footnote w:id="55">
    <w:p w14:paraId="40F3DECC" w14:textId="5C1F0164" w:rsidR="00333E88" w:rsidRPr="005804B6" w:rsidRDefault="00333E88" w:rsidP="0044178B">
      <w:pPr>
        <w:pStyle w:val="NumParra"/>
        <w:numPr>
          <w:ilvl w:val="0"/>
          <w:numId w:val="0"/>
        </w:numPr>
        <w:spacing w:line="240" w:lineRule="auto"/>
        <w:contextualSpacing/>
        <w:rPr>
          <w:rFonts w:ascii="Book Antiqua" w:hAnsi="Book Antiqua"/>
          <w:sz w:val="20"/>
          <w:szCs w:val="20"/>
        </w:rPr>
      </w:pPr>
      <w:r w:rsidRPr="005804B6">
        <w:rPr>
          <w:rFonts w:ascii="Book Antiqua" w:hAnsi="Book Antiqua"/>
          <w:sz w:val="20"/>
          <w:szCs w:val="20"/>
          <w:vertAlign w:val="superscript"/>
        </w:rPr>
        <w:footnoteRef/>
      </w:r>
      <w:r w:rsidRPr="005804B6">
        <w:rPr>
          <w:rFonts w:ascii="Book Antiqua" w:hAnsi="Book Antiqua"/>
          <w:sz w:val="20"/>
          <w:szCs w:val="20"/>
        </w:rPr>
        <w:t xml:space="preserve"> Ibid recommendation 5.6. </w:t>
      </w:r>
    </w:p>
  </w:footnote>
  <w:footnote w:id="56">
    <w:p w14:paraId="7010C8E3" w14:textId="4B270D6A" w:rsidR="00333E88" w:rsidRPr="005804B6" w:rsidRDefault="00333E88" w:rsidP="0044178B">
      <w:pPr>
        <w:pStyle w:val="NumParra"/>
        <w:numPr>
          <w:ilvl w:val="0"/>
          <w:numId w:val="0"/>
        </w:numPr>
        <w:spacing w:line="240" w:lineRule="auto"/>
        <w:contextualSpacing/>
        <w:rPr>
          <w:rFonts w:ascii="Book Antiqua" w:hAnsi="Book Antiqua"/>
          <w:sz w:val="20"/>
          <w:szCs w:val="20"/>
        </w:rPr>
      </w:pPr>
      <w:r w:rsidRPr="005804B6">
        <w:rPr>
          <w:rFonts w:ascii="Book Antiqua" w:hAnsi="Book Antiqua"/>
          <w:sz w:val="20"/>
          <w:szCs w:val="20"/>
          <w:vertAlign w:val="superscript"/>
        </w:rPr>
        <w:footnoteRef/>
      </w:r>
      <w:r w:rsidRPr="005804B6">
        <w:rPr>
          <w:rFonts w:ascii="Book Antiqua" w:hAnsi="Book Antiqua"/>
          <w:sz w:val="20"/>
          <w:szCs w:val="20"/>
        </w:rPr>
        <w:t xml:space="preserve"> Ibid recommendation 6.4.</w:t>
      </w:r>
    </w:p>
  </w:footnote>
  <w:footnote w:id="57">
    <w:p w14:paraId="4EF79BCF" w14:textId="343A7306" w:rsidR="00333E88" w:rsidRPr="0044178B" w:rsidRDefault="00333E88" w:rsidP="0044178B">
      <w:pPr>
        <w:pStyle w:val="NumParra"/>
        <w:numPr>
          <w:ilvl w:val="0"/>
          <w:numId w:val="0"/>
        </w:numPr>
        <w:spacing w:line="240" w:lineRule="auto"/>
        <w:contextualSpacing/>
        <w:rPr>
          <w:rFonts w:ascii="Book Antiqua" w:hAnsi="Book Antiqua"/>
          <w:sz w:val="20"/>
          <w:szCs w:val="20"/>
        </w:rPr>
      </w:pPr>
      <w:r w:rsidRPr="0044178B">
        <w:rPr>
          <w:rFonts w:ascii="Book Antiqua" w:hAnsi="Book Antiqua"/>
          <w:sz w:val="20"/>
          <w:szCs w:val="20"/>
          <w:vertAlign w:val="superscript"/>
        </w:rPr>
        <w:footnoteRef/>
      </w:r>
      <w:r w:rsidRPr="005804B6">
        <w:rPr>
          <w:rFonts w:ascii="Book Antiqua" w:hAnsi="Book Antiqua"/>
          <w:sz w:val="20"/>
          <w:szCs w:val="20"/>
        </w:rPr>
        <w:t xml:space="preserve"> Ibid recommendation 6.8.</w:t>
      </w:r>
    </w:p>
  </w:footnote>
  <w:footnote w:id="58">
    <w:p w14:paraId="183E9082" w14:textId="41EF8690" w:rsidR="00333E88" w:rsidRPr="0044178B" w:rsidRDefault="00333E88" w:rsidP="0044178B">
      <w:pPr>
        <w:pStyle w:val="NumParra"/>
        <w:numPr>
          <w:ilvl w:val="0"/>
          <w:numId w:val="0"/>
        </w:numPr>
        <w:spacing w:line="240" w:lineRule="auto"/>
        <w:contextualSpacing/>
        <w:rPr>
          <w:rFonts w:ascii="Book Antiqua" w:hAnsi="Book Antiqua"/>
          <w:sz w:val="20"/>
          <w:szCs w:val="20"/>
        </w:rPr>
      </w:pPr>
      <w:r w:rsidRPr="0044178B">
        <w:rPr>
          <w:sz w:val="20"/>
          <w:szCs w:val="20"/>
          <w:vertAlign w:val="superscript"/>
        </w:rPr>
        <w:footnoteRef/>
      </w:r>
      <w:r w:rsidRPr="0044178B">
        <w:rPr>
          <w:rFonts w:ascii="Book Antiqua" w:hAnsi="Book Antiqua"/>
          <w:sz w:val="20"/>
          <w:szCs w:val="20"/>
        </w:rPr>
        <w:t xml:space="preserve"> Ibid, recommendation 7.3. </w:t>
      </w:r>
    </w:p>
  </w:footnote>
  <w:footnote w:id="59">
    <w:p w14:paraId="427F6410" w14:textId="7115ECEC" w:rsidR="00333E88" w:rsidRPr="00561FDD" w:rsidRDefault="00333E88" w:rsidP="00296008">
      <w:pPr>
        <w:pStyle w:val="FootnoteText"/>
        <w:rPr>
          <w:rFonts w:ascii="Book Antiqua" w:hAnsi="Book Antiqua"/>
        </w:rPr>
      </w:pPr>
      <w:r w:rsidRPr="00561FDD">
        <w:rPr>
          <w:rStyle w:val="FootnoteReference"/>
          <w:rFonts w:ascii="Book Antiqua" w:hAnsi="Book Antiqua"/>
        </w:rPr>
        <w:footnoteRef/>
      </w:r>
      <w:r w:rsidRPr="00561FDD">
        <w:rPr>
          <w:rFonts w:ascii="Book Antiqua" w:hAnsi="Book Antiqua"/>
        </w:rPr>
        <w:t xml:space="preserve"> </w:t>
      </w:r>
      <w:r w:rsidRPr="00561FDD">
        <w:rPr>
          <w:rFonts w:ascii="Book Antiqua" w:hAnsi="Book Antiqua"/>
          <w:i/>
          <w:iCs/>
        </w:rPr>
        <w:t>R v Lazarus</w:t>
      </w:r>
      <w:r w:rsidRPr="00561FDD">
        <w:rPr>
          <w:rFonts w:ascii="Book Antiqua" w:hAnsi="Book Antiqua"/>
        </w:rPr>
        <w:t xml:space="preserve"> (Unreported, District Court of New South Wales, Judge </w:t>
      </w:r>
      <w:proofErr w:type="spellStart"/>
      <w:r w:rsidRPr="00561FDD">
        <w:rPr>
          <w:rFonts w:ascii="Book Antiqua" w:hAnsi="Book Antiqua"/>
        </w:rPr>
        <w:t>Tupman</w:t>
      </w:r>
      <w:proofErr w:type="spellEnd"/>
      <w:r w:rsidRPr="00561FDD">
        <w:rPr>
          <w:rFonts w:ascii="Book Antiqua" w:hAnsi="Book Antiqua"/>
        </w:rPr>
        <w:t>, 4 May 2017)</w:t>
      </w:r>
      <w:r>
        <w:rPr>
          <w:rFonts w:ascii="Book Antiqua" w:hAnsi="Book Antiqua"/>
        </w:rPr>
        <w:t>.</w:t>
      </w:r>
    </w:p>
  </w:footnote>
  <w:footnote w:id="60">
    <w:p w14:paraId="7CE14D55" w14:textId="2B16FE32"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161E75">
        <w:rPr>
          <w:rFonts w:ascii="Book Antiqua" w:hAnsi="Book Antiqua"/>
        </w:rPr>
        <w:t xml:space="preserve">New South Wales Law Reform Commission, </w:t>
      </w:r>
      <w:r w:rsidRPr="00D47EEA">
        <w:rPr>
          <w:rFonts w:ascii="Book Antiqua" w:hAnsi="Book Antiqua"/>
          <w:i/>
          <w:iCs/>
        </w:rPr>
        <w:t>Consent in relation to sexual offences</w:t>
      </w:r>
      <w:r w:rsidRPr="00161E75">
        <w:rPr>
          <w:rFonts w:ascii="Book Antiqua" w:hAnsi="Book Antiqua"/>
        </w:rPr>
        <w:t xml:space="preserve"> </w:t>
      </w:r>
      <w:r>
        <w:rPr>
          <w:rFonts w:ascii="Book Antiqua" w:hAnsi="Book Antiqua"/>
        </w:rPr>
        <w:t xml:space="preserve">(n </w:t>
      </w:r>
      <w:r w:rsidR="00F7671F">
        <w:rPr>
          <w:rFonts w:ascii="Book Antiqua" w:hAnsi="Book Antiqua"/>
        </w:rPr>
        <w:t>5</w:t>
      </w:r>
      <w:r>
        <w:rPr>
          <w:rFonts w:ascii="Book Antiqua" w:hAnsi="Book Antiqua"/>
        </w:rPr>
        <w:t xml:space="preserve">) </w:t>
      </w:r>
      <w:r w:rsidRPr="00B26AAE">
        <w:rPr>
          <w:rFonts w:ascii="Book Antiqua" w:hAnsi="Book Antiqua"/>
        </w:rPr>
        <w:t>recommendation 8.1.</w:t>
      </w:r>
    </w:p>
  </w:footnote>
  <w:footnote w:id="61">
    <w:p w14:paraId="76745199" w14:textId="6567CB05"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Ibid</w:t>
      </w:r>
      <w:r>
        <w:rPr>
          <w:rFonts w:ascii="Book Antiqua" w:hAnsi="Book Antiqua"/>
        </w:rPr>
        <w:t xml:space="preserve"> </w:t>
      </w:r>
      <w:r w:rsidRPr="00B26AAE">
        <w:rPr>
          <w:rFonts w:ascii="Book Antiqua" w:hAnsi="Book Antiqua"/>
        </w:rPr>
        <w:t>recommendation</w:t>
      </w:r>
      <w:r w:rsidRPr="00B26AAE">
        <w:rPr>
          <w:rFonts w:ascii="Book Antiqua" w:hAnsi="Book Antiqua" w:cs="Arial"/>
        </w:rPr>
        <w:t xml:space="preserve"> 8.4.</w:t>
      </w:r>
    </w:p>
  </w:footnote>
  <w:footnote w:id="62">
    <w:p w14:paraId="1F260A9B" w14:textId="775D8B77" w:rsidR="00333E88" w:rsidRPr="00B26AAE" w:rsidRDefault="00333E88" w:rsidP="003227C6">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Ibid recommendation</w:t>
      </w:r>
      <w:r w:rsidRPr="00B26AAE">
        <w:rPr>
          <w:rFonts w:ascii="Book Antiqua" w:hAnsi="Book Antiqua" w:cs="Arial"/>
        </w:rPr>
        <w:t xml:space="preserve"> 8.6.</w:t>
      </w:r>
    </w:p>
  </w:footnote>
  <w:footnote w:id="63">
    <w:p w14:paraId="66B7000A" w14:textId="1B1116BE" w:rsidR="00333E88" w:rsidRPr="0034583A"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002554B6">
        <w:rPr>
          <w:rFonts w:ascii="Book Antiqua" w:hAnsi="Book Antiqua"/>
        </w:rPr>
        <w:t xml:space="preserve">See, </w:t>
      </w:r>
      <w:proofErr w:type="spellStart"/>
      <w:r w:rsidR="002554B6">
        <w:rPr>
          <w:rFonts w:ascii="Book Antiqua" w:hAnsi="Book Antiqua"/>
        </w:rPr>
        <w:t>eg</w:t>
      </w:r>
      <w:proofErr w:type="spellEnd"/>
      <w:r w:rsidR="002554B6">
        <w:rPr>
          <w:rFonts w:ascii="Book Antiqua" w:hAnsi="Book Antiqua"/>
        </w:rPr>
        <w:t xml:space="preserve">, </w:t>
      </w:r>
      <w:r w:rsidRPr="00B26AAE">
        <w:rPr>
          <w:rFonts w:ascii="Book Antiqua" w:hAnsi="Book Antiqua"/>
        </w:rPr>
        <w:t xml:space="preserve">Emma </w:t>
      </w:r>
      <w:proofErr w:type="spellStart"/>
      <w:r w:rsidRPr="00B26AAE">
        <w:rPr>
          <w:rFonts w:ascii="Book Antiqua" w:hAnsi="Book Antiqua"/>
        </w:rPr>
        <w:t>Brockes</w:t>
      </w:r>
      <w:proofErr w:type="spellEnd"/>
      <w:r w:rsidRPr="00B26AAE">
        <w:rPr>
          <w:rFonts w:ascii="Book Antiqua" w:hAnsi="Book Antiqua"/>
        </w:rPr>
        <w:t>, ‘#MeToo founder T</w:t>
      </w:r>
      <w:r>
        <w:rPr>
          <w:rFonts w:ascii="Book Antiqua" w:hAnsi="Book Antiqua"/>
        </w:rPr>
        <w:t>a</w:t>
      </w:r>
      <w:r w:rsidRPr="00B26AAE">
        <w:rPr>
          <w:rFonts w:ascii="Book Antiqua" w:hAnsi="Book Antiqua"/>
        </w:rPr>
        <w:t xml:space="preserve">rana Burke: ‘You have to use your privilege to serve other </w:t>
      </w:r>
      <w:r w:rsidRPr="00D870A4">
        <w:rPr>
          <w:rFonts w:ascii="Book Antiqua" w:hAnsi="Book Antiqua"/>
        </w:rPr>
        <w:t xml:space="preserve">people’ </w:t>
      </w:r>
      <w:r w:rsidRPr="00D870A4">
        <w:rPr>
          <w:rFonts w:ascii="Book Antiqua" w:hAnsi="Book Antiqua"/>
          <w:i/>
          <w:iCs/>
        </w:rPr>
        <w:t>The Guardian</w:t>
      </w:r>
      <w:r w:rsidRPr="00D870A4">
        <w:rPr>
          <w:rFonts w:ascii="Book Antiqua" w:hAnsi="Book Antiqua"/>
        </w:rPr>
        <w:t xml:space="preserve"> (online, 15 January 2018) &lt;</w:t>
      </w:r>
      <w:hyperlink r:id="rId9" w:history="1">
        <w:r w:rsidRPr="0034583A">
          <w:rPr>
            <w:rStyle w:val="Hyperlink"/>
            <w:rFonts w:ascii="Book Antiqua" w:hAnsi="Book Antiqua"/>
            <w:color w:val="auto"/>
          </w:rPr>
          <w:t>https://www.theguardian.com/world/2018/jan/15/me-too-founder-tarana-burke-women-sexual-assault</w:t>
        </w:r>
      </w:hyperlink>
      <w:r w:rsidRPr="0034583A">
        <w:rPr>
          <w:rFonts w:ascii="Book Antiqua" w:hAnsi="Book Antiqua"/>
        </w:rPr>
        <w:t xml:space="preserve">&gt;.     </w:t>
      </w:r>
    </w:p>
  </w:footnote>
  <w:footnote w:id="64">
    <w:p w14:paraId="5087BC6A" w14:textId="2F386BEA" w:rsidR="0034583A" w:rsidRPr="0034583A" w:rsidRDefault="0034583A">
      <w:pPr>
        <w:pStyle w:val="FootnoteText"/>
        <w:rPr>
          <w:rFonts w:ascii="Book Antiqua" w:hAnsi="Book Antiqua"/>
        </w:rPr>
      </w:pPr>
      <w:r w:rsidRPr="0034583A">
        <w:rPr>
          <w:rStyle w:val="FootnoteReference"/>
          <w:rFonts w:ascii="Book Antiqua" w:hAnsi="Book Antiqua"/>
        </w:rPr>
        <w:footnoteRef/>
      </w:r>
      <w:r w:rsidRPr="0034583A">
        <w:rPr>
          <w:rFonts w:ascii="Book Antiqua" w:hAnsi="Book Antiqua"/>
        </w:rPr>
        <w:t xml:space="preserve"> Naomi Neilson and Lauren Croft, ’23 barristers oppose NSW  Bar on sexual consent reforms’ </w:t>
      </w:r>
      <w:r w:rsidRPr="0034583A">
        <w:rPr>
          <w:rFonts w:ascii="Book Antiqua" w:hAnsi="Book Antiqua"/>
          <w:i/>
          <w:iCs/>
        </w:rPr>
        <w:t>Lawyers Weekly</w:t>
      </w:r>
      <w:r w:rsidRPr="0034583A">
        <w:rPr>
          <w:rFonts w:ascii="Book Antiqua" w:hAnsi="Book Antiqua"/>
        </w:rPr>
        <w:t xml:space="preserve"> (online 1 June 2021) &lt; </w:t>
      </w:r>
      <w:hyperlink r:id="rId10" w:history="1">
        <w:r w:rsidRPr="0034583A">
          <w:rPr>
            <w:rStyle w:val="Hyperlink"/>
            <w:rFonts w:ascii="Book Antiqua" w:hAnsi="Book Antiqua"/>
            <w:color w:val="auto"/>
          </w:rPr>
          <w:t>https://www.lawyersweekly.com.au/biglaw/31513-23-barristers-oppose-nsw-bar-on-sexual-consent-reforms</w:t>
        </w:r>
      </w:hyperlink>
      <w:r w:rsidRPr="0034583A">
        <w:rPr>
          <w:rFonts w:ascii="Book Antiqua" w:hAnsi="Book Antiqua"/>
        </w:rPr>
        <w:t>&gt;.</w:t>
      </w:r>
    </w:p>
  </w:footnote>
  <w:footnote w:id="65">
    <w:p w14:paraId="3F1E7D2C" w14:textId="3F524627" w:rsidR="00333E88" w:rsidRPr="0034583A" w:rsidRDefault="00333E88">
      <w:pPr>
        <w:pStyle w:val="FootnoteText"/>
        <w:rPr>
          <w:rFonts w:ascii="Book Antiqua" w:hAnsi="Book Antiqua"/>
        </w:rPr>
      </w:pPr>
      <w:r w:rsidRPr="0034583A">
        <w:rPr>
          <w:rStyle w:val="FootnoteReference"/>
          <w:rFonts w:ascii="Book Antiqua" w:hAnsi="Book Antiqua"/>
        </w:rPr>
        <w:footnoteRef/>
      </w:r>
      <w:r w:rsidRPr="0034583A">
        <w:rPr>
          <w:rFonts w:ascii="Book Antiqua" w:hAnsi="Book Antiqua"/>
        </w:rPr>
        <w:t xml:space="preserve"> </w:t>
      </w:r>
      <w:r w:rsidR="0034583A">
        <w:rPr>
          <w:rFonts w:ascii="Book Antiqua" w:hAnsi="Book Antiqua"/>
        </w:rPr>
        <w:t>Ibid.</w:t>
      </w:r>
    </w:p>
  </w:footnote>
  <w:footnote w:id="66">
    <w:p w14:paraId="378AADC2" w14:textId="54E61BA4" w:rsidR="00333E88" w:rsidRPr="00B26AAE" w:rsidRDefault="00333E88" w:rsidP="00220148">
      <w:pPr>
        <w:pStyle w:val="FootnoteText"/>
        <w:rPr>
          <w:rFonts w:ascii="Book Antiqua" w:hAnsi="Book Antiqua"/>
        </w:rPr>
      </w:pPr>
      <w:r w:rsidRPr="0034583A">
        <w:rPr>
          <w:rStyle w:val="FootnoteReference"/>
          <w:rFonts w:ascii="Book Antiqua" w:hAnsi="Book Antiqua"/>
        </w:rPr>
        <w:footnoteRef/>
      </w:r>
      <w:r w:rsidRPr="0034583A">
        <w:rPr>
          <w:rFonts w:ascii="Book Antiqua" w:hAnsi="Book Antiqua"/>
        </w:rPr>
        <w:t xml:space="preserve"> Ibid.</w:t>
      </w:r>
      <w:r w:rsidRPr="00B26AAE">
        <w:rPr>
          <w:rFonts w:ascii="Book Antiqua" w:hAnsi="Book Antiqua"/>
        </w:rPr>
        <w:t xml:space="preserve"> </w:t>
      </w:r>
    </w:p>
  </w:footnote>
  <w:footnote w:id="67">
    <w:p w14:paraId="5CE9464F" w14:textId="58146E7A" w:rsidR="002554B6" w:rsidRPr="00BE18B2" w:rsidRDefault="002554B6">
      <w:pPr>
        <w:pStyle w:val="FootnoteText"/>
        <w:rPr>
          <w:rFonts w:ascii="Book Antiqua" w:hAnsi="Book Antiqua"/>
        </w:rPr>
      </w:pPr>
      <w:r w:rsidRPr="00BE18B2">
        <w:rPr>
          <w:rStyle w:val="FootnoteReference"/>
          <w:rFonts w:ascii="Book Antiqua" w:hAnsi="Book Antiqua"/>
        </w:rPr>
        <w:footnoteRef/>
      </w:r>
      <w:r w:rsidRPr="00BE18B2">
        <w:rPr>
          <w:rFonts w:ascii="Book Antiqua" w:hAnsi="Book Antiqua"/>
        </w:rPr>
        <w:t xml:space="preserve"> NSW Bar Association, ‘Message From the President’ </w:t>
      </w:r>
      <w:r w:rsidRPr="00BE18B2">
        <w:rPr>
          <w:rFonts w:ascii="Book Antiqua" w:hAnsi="Book Antiqua"/>
          <w:i/>
          <w:iCs/>
        </w:rPr>
        <w:t xml:space="preserve">New South Wales Bar Association </w:t>
      </w:r>
      <w:r w:rsidRPr="00BE18B2">
        <w:rPr>
          <w:rFonts w:ascii="Book Antiqua" w:hAnsi="Book Antiqua"/>
        </w:rPr>
        <w:t xml:space="preserve">(online, 1 June 2021) &lt; </w:t>
      </w:r>
      <w:hyperlink r:id="rId11" w:history="1">
        <w:r w:rsidRPr="00BE18B2">
          <w:rPr>
            <w:rStyle w:val="Hyperlink"/>
            <w:rFonts w:ascii="Book Antiqua" w:hAnsi="Book Antiqua"/>
            <w:color w:val="auto"/>
          </w:rPr>
          <w:t>https://nswbar.asn.au/the-bar-association/publications/inbrief/view/08b347d11316f1372f3414b4c4689959</w:t>
        </w:r>
      </w:hyperlink>
      <w:r w:rsidRPr="00BE18B2">
        <w:rPr>
          <w:rFonts w:ascii="Book Antiqua" w:hAnsi="Book Antiqua"/>
        </w:rPr>
        <w:t xml:space="preserve">&gt;. </w:t>
      </w:r>
    </w:p>
  </w:footnote>
  <w:footnote w:id="68">
    <w:p w14:paraId="4105BD95" w14:textId="12076E75" w:rsidR="00BE18B2" w:rsidRDefault="00BE18B2">
      <w:pPr>
        <w:pStyle w:val="FootnoteText"/>
      </w:pPr>
      <w:r w:rsidRPr="00BE18B2">
        <w:rPr>
          <w:rStyle w:val="FootnoteReference"/>
          <w:rFonts w:ascii="Book Antiqua" w:hAnsi="Book Antiqua"/>
        </w:rPr>
        <w:footnoteRef/>
      </w:r>
      <w:r w:rsidRPr="00BE18B2">
        <w:rPr>
          <w:rFonts w:ascii="Book Antiqua" w:hAnsi="Book Antiqua"/>
        </w:rPr>
        <w:t xml:space="preserve"> Ibid.</w:t>
      </w:r>
    </w:p>
  </w:footnote>
  <w:footnote w:id="69">
    <w:p w14:paraId="62D61EBF" w14:textId="08B5322C" w:rsidR="00333E88" w:rsidRPr="00770B86" w:rsidRDefault="00333E88">
      <w:pPr>
        <w:pStyle w:val="FootnoteText"/>
      </w:pPr>
      <w:r>
        <w:rPr>
          <w:rStyle w:val="FootnoteReference"/>
        </w:rPr>
        <w:footnoteRef/>
      </w:r>
      <w:r>
        <w:t xml:space="preserve"> </w:t>
      </w:r>
      <w:r>
        <w:rPr>
          <w:rFonts w:ascii="Book Antiqua" w:hAnsi="Book Antiqua"/>
        </w:rPr>
        <w:t xml:space="preserve">Joint Standing Committee on Coercive Control, </w:t>
      </w:r>
      <w:r w:rsidRPr="00CA113E">
        <w:rPr>
          <w:rFonts w:ascii="Book Antiqua" w:hAnsi="Book Antiqua"/>
          <w:i/>
          <w:iCs/>
        </w:rPr>
        <w:t xml:space="preserve">Coercive Control in </w:t>
      </w:r>
      <w:r>
        <w:rPr>
          <w:rFonts w:ascii="Book Antiqua" w:hAnsi="Book Antiqua"/>
          <w:i/>
          <w:iCs/>
        </w:rPr>
        <w:t>Domestic Relationships</w:t>
      </w:r>
      <w:r>
        <w:rPr>
          <w:rFonts w:ascii="Book Antiqua" w:hAnsi="Book Antiqua"/>
        </w:rPr>
        <w:t xml:space="preserve"> (n </w:t>
      </w:r>
      <w:r w:rsidR="005B075A">
        <w:rPr>
          <w:rFonts w:ascii="Book Antiqua" w:hAnsi="Book Antiqua"/>
        </w:rPr>
        <w:t>12</w:t>
      </w:r>
      <w:r>
        <w:rPr>
          <w:rFonts w:ascii="Book Antiqua" w:hAnsi="Book Antiqua"/>
        </w:rPr>
        <w:t>).</w:t>
      </w:r>
    </w:p>
  </w:footnote>
  <w:footnote w:id="70">
    <w:p w14:paraId="4CB97035" w14:textId="274E186B" w:rsidR="00333E88" w:rsidRDefault="00333E88" w:rsidP="004A0F44">
      <w:pPr>
        <w:pStyle w:val="FootnoteText"/>
      </w:pPr>
      <w:r>
        <w:rPr>
          <w:rStyle w:val="FootnoteReference"/>
        </w:rPr>
        <w:footnoteRef/>
      </w:r>
      <w:r>
        <w:t xml:space="preserve"> </w:t>
      </w:r>
      <w:r w:rsidRPr="00B26AAE">
        <w:rPr>
          <w:rFonts w:ascii="Book Antiqua" w:hAnsi="Book Antiqua"/>
        </w:rPr>
        <w:t>Australian Bureau of Statistics, ‘Personal Safety, Australia’</w:t>
      </w:r>
      <w:r>
        <w:rPr>
          <w:rFonts w:ascii="Book Antiqua" w:hAnsi="Book Antiqua"/>
        </w:rPr>
        <w:t xml:space="preserve"> (n </w:t>
      </w:r>
      <w:r w:rsidR="0044178B">
        <w:rPr>
          <w:rFonts w:ascii="Book Antiqua" w:hAnsi="Book Antiqua"/>
        </w:rPr>
        <w:t>46</w:t>
      </w:r>
      <w:r>
        <w:rPr>
          <w:rFonts w:ascii="Book Antiqua" w:hAnsi="Book Antiqua"/>
        </w:rPr>
        <w:t>).</w:t>
      </w:r>
    </w:p>
  </w:footnote>
  <w:footnote w:id="71">
    <w:p w14:paraId="4A610990" w14:textId="5E34032E"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w:t>
      </w:r>
    </w:p>
  </w:footnote>
  <w:footnote w:id="72">
    <w:p w14:paraId="0B600A59" w14:textId="43930A39" w:rsidR="00333E88" w:rsidRPr="00B26AAE" w:rsidRDefault="00333E88">
      <w:pPr>
        <w:pStyle w:val="FootnoteText"/>
        <w:rPr>
          <w:rFonts w:ascii="Book Antiqua" w:hAnsi="Book Antiqua"/>
        </w:rPr>
      </w:pPr>
      <w:r w:rsidRPr="006A352A">
        <w:rPr>
          <w:rStyle w:val="FootnoteReference"/>
          <w:rFonts w:ascii="Book Antiqua" w:hAnsi="Book Antiqua"/>
        </w:rPr>
        <w:footnoteRef/>
      </w:r>
      <w:r w:rsidRPr="006A352A">
        <w:rPr>
          <w:rFonts w:ascii="Book Antiqua" w:hAnsi="Book Antiqua"/>
        </w:rPr>
        <w:t xml:space="preserve"> Ibid.</w:t>
      </w:r>
    </w:p>
  </w:footnote>
  <w:footnote w:id="73">
    <w:p w14:paraId="33C2103C" w14:textId="07F4BC8E" w:rsidR="00333E88" w:rsidRDefault="00333E88">
      <w:pPr>
        <w:pStyle w:val="FootnoteText"/>
      </w:pPr>
      <w:r>
        <w:rPr>
          <w:rStyle w:val="FootnoteReference"/>
        </w:rPr>
        <w:footnoteRef/>
      </w:r>
      <w:r>
        <w:t xml:space="preserve"> </w:t>
      </w:r>
      <w:r w:rsidRPr="00B26AAE">
        <w:rPr>
          <w:rFonts w:ascii="Book Antiqua" w:hAnsi="Book Antiqua"/>
          <w:i/>
          <w:iCs/>
        </w:rPr>
        <w:t xml:space="preserve">Crimes (Domestic and Personal Violence) Act 2007 </w:t>
      </w:r>
      <w:r w:rsidRPr="00B26AAE">
        <w:rPr>
          <w:rFonts w:ascii="Book Antiqua" w:hAnsi="Book Antiqua"/>
        </w:rPr>
        <w:t>(NSW) s 9</w:t>
      </w:r>
      <w:r>
        <w:rPr>
          <w:rFonts w:ascii="Book Antiqua" w:hAnsi="Book Antiqua"/>
        </w:rPr>
        <w:t>(1)(a)-(b)</w:t>
      </w:r>
      <w:r w:rsidRPr="00B26AAE">
        <w:rPr>
          <w:rFonts w:ascii="Book Antiqua" w:hAnsi="Book Antiqua"/>
        </w:rPr>
        <w:t>.</w:t>
      </w:r>
    </w:p>
  </w:footnote>
  <w:footnote w:id="74">
    <w:p w14:paraId="158967DC" w14:textId="0EFA1DED"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 xml:space="preserve">Crimes (Domestic and Personal Violence) Act 2007 </w:t>
      </w:r>
      <w:r w:rsidRPr="00B26AAE">
        <w:rPr>
          <w:rFonts w:ascii="Book Antiqua" w:hAnsi="Book Antiqua"/>
        </w:rPr>
        <w:t>(NSW) s 9</w:t>
      </w:r>
      <w:r>
        <w:rPr>
          <w:rFonts w:ascii="Book Antiqua" w:hAnsi="Book Antiqua"/>
        </w:rPr>
        <w:t>(1)(c)-(d)</w:t>
      </w:r>
      <w:r w:rsidRPr="00B26AAE">
        <w:rPr>
          <w:rFonts w:ascii="Book Antiqua" w:hAnsi="Book Antiqua"/>
        </w:rPr>
        <w:t>.</w:t>
      </w:r>
    </w:p>
  </w:footnote>
  <w:footnote w:id="75">
    <w:p w14:paraId="53622FCC" w14:textId="17ACDB18"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(2013) 249 CLR 600.</w:t>
      </w:r>
    </w:p>
  </w:footnote>
  <w:footnote w:id="76">
    <w:p w14:paraId="47D886EF" w14:textId="33B06238"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Ibid at</w:t>
      </w:r>
      <w:r w:rsidRPr="00B26AAE">
        <w:rPr>
          <w:rFonts w:ascii="Book Antiqua" w:hAnsi="Book Antiqua"/>
        </w:rPr>
        <w:t xml:space="preserve"> [55] (French CJ, Hayne, </w:t>
      </w:r>
      <w:proofErr w:type="spellStart"/>
      <w:r w:rsidRPr="00B26AAE">
        <w:rPr>
          <w:rFonts w:ascii="Book Antiqua" w:hAnsi="Book Antiqua"/>
        </w:rPr>
        <w:t>Crennan</w:t>
      </w:r>
      <w:proofErr w:type="spellEnd"/>
      <w:r w:rsidRPr="00B26AAE">
        <w:rPr>
          <w:rFonts w:ascii="Book Antiqua" w:hAnsi="Book Antiqua"/>
        </w:rPr>
        <w:t xml:space="preserve">, </w:t>
      </w:r>
      <w:proofErr w:type="spellStart"/>
      <w:r w:rsidRPr="00B26AAE">
        <w:rPr>
          <w:rFonts w:ascii="Book Antiqua" w:hAnsi="Book Antiqua"/>
        </w:rPr>
        <w:t>Kiefel</w:t>
      </w:r>
      <w:proofErr w:type="spellEnd"/>
      <w:r w:rsidRPr="00B26AAE">
        <w:rPr>
          <w:rFonts w:ascii="Book Antiqua" w:hAnsi="Book Antiqua"/>
        </w:rPr>
        <w:t xml:space="preserve">, </w:t>
      </w:r>
      <w:proofErr w:type="spellStart"/>
      <w:r w:rsidRPr="00B26AAE">
        <w:rPr>
          <w:rFonts w:ascii="Book Antiqua" w:hAnsi="Book Antiqua"/>
        </w:rPr>
        <w:t>Gageler</w:t>
      </w:r>
      <w:proofErr w:type="spellEnd"/>
      <w:r w:rsidRPr="00B26AAE">
        <w:rPr>
          <w:rFonts w:ascii="Book Antiqua" w:hAnsi="Book Antiqua"/>
        </w:rPr>
        <w:t xml:space="preserve"> and Keane JJ). </w:t>
      </w:r>
    </w:p>
  </w:footnote>
  <w:footnote w:id="77">
    <w:p w14:paraId="78D08CE2" w14:textId="23335230"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 xml:space="preserve">See, </w:t>
      </w:r>
      <w:proofErr w:type="spellStart"/>
      <w:r>
        <w:rPr>
          <w:rFonts w:ascii="Book Antiqua" w:hAnsi="Book Antiqua"/>
        </w:rPr>
        <w:t>eg</w:t>
      </w:r>
      <w:proofErr w:type="spellEnd"/>
      <w:r>
        <w:rPr>
          <w:rFonts w:ascii="Book Antiqua" w:hAnsi="Book Antiqua"/>
        </w:rPr>
        <w:t xml:space="preserve">, </w:t>
      </w:r>
      <w:r w:rsidRPr="00B26AAE">
        <w:rPr>
          <w:rFonts w:ascii="Book Antiqua" w:hAnsi="Book Antiqua"/>
          <w:i/>
          <w:iCs/>
        </w:rPr>
        <w:t xml:space="preserve">R v Burton </w:t>
      </w:r>
      <w:r w:rsidRPr="00B26AAE">
        <w:rPr>
          <w:rFonts w:ascii="Book Antiqua" w:hAnsi="Book Antiqua"/>
        </w:rPr>
        <w:t xml:space="preserve">[2008] NSWCCA 128, [97]; </w:t>
      </w:r>
      <w:r w:rsidRPr="00B26AAE">
        <w:rPr>
          <w:rFonts w:ascii="Book Antiqua" w:hAnsi="Book Antiqua"/>
          <w:i/>
          <w:iCs/>
        </w:rPr>
        <w:t>R v Hamid</w:t>
      </w:r>
      <w:r w:rsidRPr="00B26AAE">
        <w:rPr>
          <w:rFonts w:ascii="Book Antiqua" w:hAnsi="Book Antiqua"/>
        </w:rPr>
        <w:t xml:space="preserve"> (2006) 164 A</w:t>
      </w:r>
      <w:r>
        <w:rPr>
          <w:rFonts w:ascii="Book Antiqua" w:hAnsi="Book Antiqua"/>
        </w:rPr>
        <w:t xml:space="preserve"> </w:t>
      </w:r>
      <w:r w:rsidRPr="00B26AAE">
        <w:rPr>
          <w:rFonts w:ascii="Book Antiqua" w:hAnsi="Book Antiqua"/>
        </w:rPr>
        <w:t xml:space="preserve">Crim R 179, [86]; </w:t>
      </w:r>
      <w:r w:rsidRPr="00B26AAE">
        <w:rPr>
          <w:rFonts w:ascii="Book Antiqua" w:hAnsi="Book Antiqua"/>
          <w:i/>
          <w:iCs/>
        </w:rPr>
        <w:t>Turnbull v R</w:t>
      </w:r>
      <w:r w:rsidRPr="00B26AAE">
        <w:rPr>
          <w:rFonts w:ascii="Book Antiqua" w:hAnsi="Book Antiqua"/>
        </w:rPr>
        <w:t xml:space="preserve"> [2019] NSWCCA 97, [153}; </w:t>
      </w:r>
      <w:r w:rsidRPr="00B26AAE">
        <w:rPr>
          <w:rFonts w:ascii="Book Antiqua" w:hAnsi="Book Antiqua"/>
          <w:i/>
          <w:iCs/>
        </w:rPr>
        <w:t>R v JD</w:t>
      </w:r>
      <w:r w:rsidRPr="00B26AAE">
        <w:rPr>
          <w:rFonts w:ascii="Book Antiqua" w:hAnsi="Book Antiqua"/>
        </w:rPr>
        <w:t xml:space="preserve"> [2018] NSWCCA 233. </w:t>
      </w:r>
    </w:p>
  </w:footnote>
  <w:footnote w:id="78">
    <w:p w14:paraId="73B9A9E4" w14:textId="0E60D5D1"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R v JD</w:t>
      </w:r>
      <w:r w:rsidRPr="00B26AAE">
        <w:rPr>
          <w:rFonts w:ascii="Book Antiqua" w:hAnsi="Book Antiqua"/>
        </w:rPr>
        <w:t xml:space="preserve"> [2018] NSWCCA 233, [102].</w:t>
      </w:r>
    </w:p>
  </w:footnote>
  <w:footnote w:id="79">
    <w:p w14:paraId="34B79055" w14:textId="60E2F825"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Pr>
          <w:rFonts w:ascii="Book Antiqua" w:hAnsi="Book Antiqua"/>
        </w:rPr>
        <w:t xml:space="preserve">State of Victoria, </w:t>
      </w:r>
      <w:r w:rsidRPr="00B26AAE">
        <w:rPr>
          <w:rFonts w:ascii="Book Antiqua" w:hAnsi="Book Antiqua"/>
          <w:i/>
          <w:iCs/>
        </w:rPr>
        <w:t>Royal Commission into Family Violence</w:t>
      </w:r>
      <w:r>
        <w:rPr>
          <w:rFonts w:ascii="Book Antiqua" w:hAnsi="Book Antiqua"/>
          <w:i/>
          <w:iCs/>
        </w:rPr>
        <w:t>: Summary and recommendations</w:t>
      </w:r>
      <w:r w:rsidRPr="00B26AAE">
        <w:rPr>
          <w:rFonts w:ascii="Book Antiqua" w:hAnsi="Book Antiqua"/>
        </w:rPr>
        <w:t xml:space="preserve"> (</w:t>
      </w:r>
      <w:r>
        <w:rPr>
          <w:rFonts w:ascii="Book Antiqua" w:hAnsi="Book Antiqua"/>
        </w:rPr>
        <w:t>Parliamentary Paper No 132</w:t>
      </w:r>
      <w:r w:rsidRPr="00B26AAE">
        <w:rPr>
          <w:rFonts w:ascii="Book Antiqua" w:hAnsi="Book Antiqua"/>
        </w:rPr>
        <w:t xml:space="preserve">, March 2016) </w:t>
      </w:r>
      <w:r>
        <w:rPr>
          <w:rFonts w:ascii="Book Antiqua" w:hAnsi="Book Antiqua"/>
        </w:rPr>
        <w:t>18</w:t>
      </w:r>
      <w:r w:rsidRPr="00B26AAE">
        <w:rPr>
          <w:rFonts w:ascii="Book Antiqua" w:hAnsi="Book Antiqua"/>
        </w:rPr>
        <w:t>.</w:t>
      </w:r>
    </w:p>
  </w:footnote>
  <w:footnote w:id="80">
    <w:p w14:paraId="6C934CCD" w14:textId="77777777" w:rsidR="00333E88" w:rsidRPr="00AD3B64" w:rsidRDefault="00333E88" w:rsidP="0010625B">
      <w:pPr>
        <w:pStyle w:val="FootnoteText"/>
        <w:rPr>
          <w:rFonts w:ascii="Book Antiqua" w:hAnsi="Book Antiqua"/>
        </w:rPr>
      </w:pPr>
      <w:r w:rsidRPr="00AD3B64">
        <w:rPr>
          <w:rStyle w:val="FootnoteReference"/>
          <w:rFonts w:ascii="Book Antiqua" w:hAnsi="Book Antiqua"/>
        </w:rPr>
        <w:footnoteRef/>
      </w:r>
      <w:r w:rsidRPr="00AD3B64">
        <w:rPr>
          <w:rFonts w:ascii="Book Antiqua" w:hAnsi="Book Antiqua"/>
        </w:rPr>
        <w:t xml:space="preserve"> Ibid 25.</w:t>
      </w:r>
    </w:p>
  </w:footnote>
  <w:footnote w:id="81">
    <w:p w14:paraId="69F64B62" w14:textId="77777777" w:rsidR="00333E88" w:rsidRPr="00D861B7" w:rsidRDefault="00333E88" w:rsidP="0010625B">
      <w:pPr>
        <w:pStyle w:val="FootnoteText"/>
        <w:rPr>
          <w:rFonts w:ascii="Book Antiqua" w:hAnsi="Book Antiqua"/>
        </w:rPr>
      </w:pPr>
      <w:r w:rsidRPr="00D861B7">
        <w:rPr>
          <w:rStyle w:val="FootnoteReference"/>
          <w:rFonts w:ascii="Book Antiqua" w:hAnsi="Book Antiqua"/>
        </w:rPr>
        <w:footnoteRef/>
      </w:r>
      <w:r w:rsidRPr="00D861B7">
        <w:rPr>
          <w:rFonts w:ascii="Book Antiqua" w:hAnsi="Book Antiqua"/>
        </w:rPr>
        <w:t xml:space="preserve"> Ibid citing L Ferguson, ‘Dispatches Child Homicide Study: Main Findings’ (Channel 4 (UK) 2009), in Domestic Violence Resource Centre Victoria, Submission No 945, 44.</w:t>
      </w:r>
    </w:p>
  </w:footnote>
  <w:footnote w:id="82">
    <w:p w14:paraId="28B6D2A2" w14:textId="77777777" w:rsidR="00333E88" w:rsidRPr="00AD3B64" w:rsidRDefault="00333E88" w:rsidP="0010625B">
      <w:pPr>
        <w:pStyle w:val="FootnoteText"/>
        <w:rPr>
          <w:rFonts w:ascii="Book Antiqua" w:hAnsi="Book Antiqua"/>
        </w:rPr>
      </w:pPr>
      <w:r w:rsidRPr="00AD3B64">
        <w:rPr>
          <w:rStyle w:val="FootnoteReference"/>
          <w:rFonts w:ascii="Book Antiqua" w:hAnsi="Book Antiqua"/>
        </w:rPr>
        <w:footnoteRef/>
      </w:r>
      <w:r w:rsidRPr="00AD3B64">
        <w:rPr>
          <w:rFonts w:ascii="Book Antiqua" w:hAnsi="Book Antiqua"/>
        </w:rPr>
        <w:t xml:space="preserve"> See, </w:t>
      </w:r>
      <w:proofErr w:type="spellStart"/>
      <w:r w:rsidRPr="00AD3B64">
        <w:rPr>
          <w:rFonts w:ascii="Book Antiqua" w:hAnsi="Book Antiqua"/>
        </w:rPr>
        <w:t>eg</w:t>
      </w:r>
      <w:proofErr w:type="spellEnd"/>
      <w:r w:rsidRPr="00AD3B64">
        <w:rPr>
          <w:rFonts w:ascii="Book Antiqua" w:hAnsi="Book Antiqua"/>
        </w:rPr>
        <w:t>, Michael McGowan</w:t>
      </w:r>
      <w:r>
        <w:rPr>
          <w:rFonts w:ascii="Book Antiqua" w:hAnsi="Book Antiqua"/>
        </w:rPr>
        <w:t>,</w:t>
      </w:r>
      <w:r w:rsidRPr="00AD3B64">
        <w:rPr>
          <w:rFonts w:ascii="Book Antiqua" w:hAnsi="Book Antiqua"/>
        </w:rPr>
        <w:t xml:space="preserve"> ‘Murders of Jack and Jennifer Edwards by estranged father “were preventable”, NSW coroner rules’ </w:t>
      </w:r>
      <w:r w:rsidRPr="00AD3B64">
        <w:rPr>
          <w:rFonts w:ascii="Book Antiqua" w:hAnsi="Book Antiqua"/>
          <w:i/>
          <w:iCs/>
        </w:rPr>
        <w:t>The Guardian</w:t>
      </w:r>
      <w:r w:rsidRPr="00AD3B64">
        <w:rPr>
          <w:rFonts w:ascii="Book Antiqua" w:hAnsi="Book Antiqua"/>
        </w:rPr>
        <w:t xml:space="preserve"> (online, 7 April 2021) &lt;</w:t>
      </w:r>
      <w:r w:rsidRPr="00AD3B64">
        <w:rPr>
          <w:rFonts w:ascii="Book Antiqua" w:hAnsi="Book Antiqua"/>
          <w:u w:val="single"/>
        </w:rPr>
        <w:t>https://www.theguardian.com/australia-news/2021/apr/07/john-edwards-inquest-series-of-critical-errors-allowed-man-to-his-children-nsw-coroner-finds</w:t>
      </w:r>
      <w:r w:rsidRPr="00AD3B64">
        <w:rPr>
          <w:rFonts w:ascii="Book Antiqua" w:hAnsi="Book Antiqua"/>
        </w:rPr>
        <w:t xml:space="preserve">&gt;. </w:t>
      </w:r>
    </w:p>
  </w:footnote>
  <w:footnote w:id="83">
    <w:p w14:paraId="08BB5723" w14:textId="77777777" w:rsidR="00333E88" w:rsidRDefault="00333E88" w:rsidP="0010625B">
      <w:pPr>
        <w:pStyle w:val="FootnoteText"/>
      </w:pPr>
      <w:r w:rsidRPr="00AD3B64">
        <w:rPr>
          <w:rStyle w:val="FootnoteReference"/>
          <w:rFonts w:ascii="Book Antiqua" w:hAnsi="Book Antiqua"/>
        </w:rPr>
        <w:footnoteRef/>
      </w:r>
      <w:r w:rsidRPr="00AD3B64">
        <w:rPr>
          <w:rFonts w:ascii="Book Antiqua" w:hAnsi="Book Antiqua"/>
        </w:rPr>
        <w:t xml:space="preserve"> See, </w:t>
      </w:r>
      <w:proofErr w:type="spellStart"/>
      <w:r w:rsidRPr="00AD3B64">
        <w:rPr>
          <w:rFonts w:ascii="Book Antiqua" w:hAnsi="Book Antiqua"/>
        </w:rPr>
        <w:t>eg</w:t>
      </w:r>
      <w:proofErr w:type="spellEnd"/>
      <w:r w:rsidRPr="00AD3B64">
        <w:rPr>
          <w:rFonts w:ascii="Book Antiqua" w:hAnsi="Book Antiqua"/>
        </w:rPr>
        <w:t xml:space="preserve">, Madonna King, ‘”Intimate terrorism”: why the murders of Hannah, Aaliyah, </w:t>
      </w:r>
      <w:proofErr w:type="spellStart"/>
      <w:r w:rsidRPr="00AD3B64">
        <w:rPr>
          <w:rFonts w:ascii="Book Antiqua" w:hAnsi="Book Antiqua"/>
        </w:rPr>
        <w:t>Laianah</w:t>
      </w:r>
      <w:proofErr w:type="spellEnd"/>
      <w:r w:rsidRPr="00AD3B64">
        <w:rPr>
          <w:rFonts w:ascii="Book Antiqua" w:hAnsi="Book Antiqua"/>
        </w:rPr>
        <w:t xml:space="preserve"> and Trey must spark change’ </w:t>
      </w:r>
      <w:r w:rsidRPr="00AD3B64">
        <w:rPr>
          <w:rFonts w:ascii="Book Antiqua" w:hAnsi="Book Antiqua"/>
          <w:i/>
          <w:iCs/>
        </w:rPr>
        <w:t>Sydney Morning Herald</w:t>
      </w:r>
      <w:r w:rsidRPr="00AD3B64">
        <w:rPr>
          <w:rFonts w:ascii="Book Antiqua" w:hAnsi="Book Antiqua"/>
        </w:rPr>
        <w:t xml:space="preserve"> (online, 2 November 2020) &lt; </w:t>
      </w:r>
      <w:hyperlink r:id="rId12" w:history="1">
        <w:r w:rsidRPr="00AD3B64">
          <w:rPr>
            <w:rStyle w:val="Hyperlink"/>
            <w:rFonts w:ascii="Book Antiqua" w:hAnsi="Book Antiqua"/>
            <w:color w:val="auto"/>
          </w:rPr>
          <w:t>https://www.smh.com.au/lifestyle/life-and-relationships/intimate-terrorism-why-the-murders-of-hannah-aaliyah-laianah-and-trey-must-spark-change-20200910-p55ubz.html</w:t>
        </w:r>
      </w:hyperlink>
      <w:r w:rsidRPr="00AD3B64">
        <w:rPr>
          <w:rFonts w:ascii="Book Antiqua" w:hAnsi="Book Antiqua"/>
        </w:rPr>
        <w:t>&gt;.</w:t>
      </w:r>
      <w:r w:rsidRPr="001A1BE8">
        <w:t xml:space="preserve">  </w:t>
      </w:r>
    </w:p>
  </w:footnote>
  <w:footnote w:id="84">
    <w:p w14:paraId="509469B8" w14:textId="77777777" w:rsidR="00333E88" w:rsidRPr="00D861B7" w:rsidRDefault="00333E88" w:rsidP="00F77E2F">
      <w:pPr>
        <w:pStyle w:val="FootnoteText"/>
        <w:rPr>
          <w:rFonts w:ascii="Book Antiqua" w:hAnsi="Book Antiqua"/>
        </w:rPr>
      </w:pPr>
      <w:r w:rsidRPr="00D861B7">
        <w:rPr>
          <w:rStyle w:val="FootnoteReference"/>
          <w:rFonts w:ascii="Book Antiqua" w:hAnsi="Book Antiqua"/>
        </w:rPr>
        <w:footnoteRef/>
      </w:r>
      <w:r w:rsidRPr="00D861B7">
        <w:rPr>
          <w:rFonts w:ascii="Book Antiqua" w:hAnsi="Book Antiqua"/>
        </w:rPr>
        <w:t xml:space="preserve"> UK Home Office, </w:t>
      </w:r>
      <w:r w:rsidRPr="00D861B7">
        <w:rPr>
          <w:rFonts w:ascii="Book Antiqua" w:hAnsi="Book Antiqua"/>
          <w:i/>
          <w:iCs/>
        </w:rPr>
        <w:t xml:space="preserve">Statutory Guidance Framework: Controlling or Coercive Behaviour in an Intimate or Family Relationship </w:t>
      </w:r>
      <w:r w:rsidRPr="00D861B7">
        <w:rPr>
          <w:rFonts w:ascii="Book Antiqua" w:hAnsi="Book Antiqua"/>
        </w:rPr>
        <w:t xml:space="preserve">(December 2015) 3. </w:t>
      </w:r>
    </w:p>
  </w:footnote>
  <w:footnote w:id="85">
    <w:p w14:paraId="5C976FF6" w14:textId="0E2D3550" w:rsidR="00333E88" w:rsidRPr="00B26AAE" w:rsidRDefault="00333E88" w:rsidP="00DA75A4">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00EE5C61" w:rsidRPr="00B26AAE">
        <w:rPr>
          <w:rFonts w:ascii="Book Antiqua" w:hAnsi="Book Antiqua"/>
        </w:rPr>
        <w:t xml:space="preserve">NSW Government, </w:t>
      </w:r>
      <w:r w:rsidR="00EE5C61" w:rsidRPr="00B26AAE">
        <w:rPr>
          <w:rFonts w:ascii="Book Antiqua" w:hAnsi="Book Antiqua"/>
          <w:i/>
          <w:iCs/>
        </w:rPr>
        <w:t xml:space="preserve">Coercive Control </w:t>
      </w:r>
      <w:r w:rsidR="00EE5C61" w:rsidRPr="00B26AAE">
        <w:rPr>
          <w:rFonts w:ascii="Book Antiqua" w:hAnsi="Book Antiqua"/>
        </w:rPr>
        <w:t xml:space="preserve">(Discussion Paper, October 2020) </w:t>
      </w:r>
      <w:r w:rsidR="00D928A6">
        <w:rPr>
          <w:rFonts w:ascii="Book Antiqua" w:hAnsi="Book Antiqua"/>
        </w:rPr>
        <w:t>foreword</w:t>
      </w:r>
      <w:r w:rsidRPr="00B26AAE">
        <w:rPr>
          <w:rFonts w:ascii="Book Antiqua" w:hAnsi="Book Antiqua"/>
        </w:rPr>
        <w:t>.</w:t>
      </w:r>
    </w:p>
  </w:footnote>
  <w:footnote w:id="86">
    <w:p w14:paraId="6EF80A7D" w14:textId="14A7E824" w:rsidR="00333E88" w:rsidRPr="00B26AAE" w:rsidRDefault="00333E88" w:rsidP="004324EC">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00D928A6">
        <w:rPr>
          <w:rFonts w:ascii="Book Antiqua" w:hAnsi="Book Antiqua"/>
        </w:rPr>
        <w:t>Ibid</w:t>
      </w:r>
      <w:r w:rsidRPr="00B26AAE">
        <w:rPr>
          <w:rFonts w:ascii="Book Antiqua" w:hAnsi="Book Antiqua"/>
        </w:rPr>
        <w:t xml:space="preserve"> </w:t>
      </w:r>
      <w:r>
        <w:rPr>
          <w:rFonts w:ascii="Book Antiqua" w:hAnsi="Book Antiqua"/>
        </w:rPr>
        <w:t>2.</w:t>
      </w:r>
    </w:p>
  </w:footnote>
  <w:footnote w:id="87">
    <w:p w14:paraId="2A99A61F" w14:textId="310A5BDF"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w:t>
      </w:r>
      <w:r w:rsidRPr="00D861B7">
        <w:rPr>
          <w:rFonts w:ascii="Book Antiqua" w:hAnsi="Book Antiqua"/>
        </w:rPr>
        <w:t xml:space="preserve">State of Victoria, </w:t>
      </w:r>
      <w:r w:rsidRPr="00D861B7">
        <w:rPr>
          <w:rFonts w:ascii="Book Antiqua" w:hAnsi="Book Antiqua"/>
          <w:i/>
          <w:iCs/>
        </w:rPr>
        <w:t>Royal Commission into Family Violence: Summary and recommendations</w:t>
      </w:r>
      <w:r w:rsidRPr="00D861B7">
        <w:rPr>
          <w:rFonts w:ascii="Book Antiqua" w:hAnsi="Book Antiqua"/>
        </w:rPr>
        <w:t xml:space="preserve"> (n </w:t>
      </w:r>
      <w:r w:rsidR="00D928A6">
        <w:rPr>
          <w:rFonts w:ascii="Book Antiqua" w:hAnsi="Book Antiqua"/>
        </w:rPr>
        <w:t>7</w:t>
      </w:r>
      <w:r w:rsidR="00B31F61">
        <w:rPr>
          <w:rFonts w:ascii="Book Antiqua" w:hAnsi="Book Antiqua"/>
        </w:rPr>
        <w:t>8</w:t>
      </w:r>
      <w:r w:rsidRPr="00D861B7">
        <w:rPr>
          <w:rFonts w:ascii="Book Antiqua" w:hAnsi="Book Antiqua"/>
        </w:rPr>
        <w:t>) 18.</w:t>
      </w:r>
    </w:p>
  </w:footnote>
  <w:footnote w:id="88">
    <w:p w14:paraId="661F1A31" w14:textId="10730BA7"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Ibid.</w:t>
      </w:r>
    </w:p>
  </w:footnote>
  <w:footnote w:id="89">
    <w:p w14:paraId="67F3D668" w14:textId="4AC4B6D8"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w:t>
      </w:r>
      <w:r w:rsidR="00200B2A" w:rsidRPr="00B26AAE">
        <w:rPr>
          <w:rFonts w:ascii="Book Antiqua" w:hAnsi="Book Antiqua"/>
        </w:rPr>
        <w:t xml:space="preserve">NSW Government, </w:t>
      </w:r>
      <w:r w:rsidR="00200B2A" w:rsidRPr="00B26AAE">
        <w:rPr>
          <w:rFonts w:ascii="Book Antiqua" w:hAnsi="Book Antiqua"/>
          <w:i/>
          <w:iCs/>
        </w:rPr>
        <w:t xml:space="preserve">Coercive Control </w:t>
      </w:r>
      <w:r w:rsidR="00200B2A" w:rsidRPr="00B26AAE">
        <w:rPr>
          <w:rFonts w:ascii="Book Antiqua" w:hAnsi="Book Antiqua"/>
        </w:rPr>
        <w:t>(</w:t>
      </w:r>
      <w:r w:rsidR="00200B2A">
        <w:rPr>
          <w:rFonts w:ascii="Book Antiqua" w:hAnsi="Book Antiqua"/>
        </w:rPr>
        <w:t>n 8</w:t>
      </w:r>
      <w:r w:rsidR="005931D5">
        <w:rPr>
          <w:rFonts w:ascii="Book Antiqua" w:hAnsi="Book Antiqua"/>
        </w:rPr>
        <w:t>4</w:t>
      </w:r>
      <w:r w:rsidR="00200B2A" w:rsidRPr="00B26AAE">
        <w:rPr>
          <w:rFonts w:ascii="Book Antiqua" w:hAnsi="Book Antiqua"/>
        </w:rPr>
        <w:t xml:space="preserve">) </w:t>
      </w:r>
      <w:r w:rsidRPr="00B26AAE">
        <w:rPr>
          <w:rFonts w:ascii="Book Antiqua" w:hAnsi="Book Antiqua"/>
        </w:rPr>
        <w:t xml:space="preserve">cl 1.11 </w:t>
      </w:r>
    </w:p>
  </w:footnote>
  <w:footnote w:id="90">
    <w:p w14:paraId="10754B85" w14:textId="012224A6"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Ibid cl 2.7.</w:t>
      </w:r>
    </w:p>
  </w:footnote>
  <w:footnote w:id="91">
    <w:p w14:paraId="48E3CC17" w14:textId="53BB32B1" w:rsidR="00333E88" w:rsidRPr="00B26AAE" w:rsidRDefault="00333E88" w:rsidP="003D64A0">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Ibid cl 2.9</w:t>
      </w:r>
      <w:r w:rsidR="00200B2A">
        <w:rPr>
          <w:rFonts w:ascii="Book Antiqua" w:hAnsi="Book Antiqua"/>
        </w:rPr>
        <w:t>.</w:t>
      </w:r>
    </w:p>
  </w:footnote>
  <w:footnote w:id="92">
    <w:p w14:paraId="63CC8A65" w14:textId="77777777" w:rsidR="00333E88" w:rsidRPr="00B26AAE" w:rsidRDefault="00333E88" w:rsidP="009606E0">
      <w:pPr>
        <w:pStyle w:val="FootnoteText"/>
        <w:rPr>
          <w:rFonts w:ascii="Book Antiqua" w:hAnsi="Book Antiqua"/>
          <w:i/>
          <w:iCs/>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Domestic Abuse (Scotland) Act 2018</w:t>
      </w:r>
      <w:r>
        <w:rPr>
          <w:rFonts w:ascii="Book Antiqua" w:hAnsi="Book Antiqua"/>
          <w:i/>
          <w:iCs/>
        </w:rPr>
        <w:t>.</w:t>
      </w:r>
    </w:p>
  </w:footnote>
  <w:footnote w:id="93">
    <w:p w14:paraId="38E62307" w14:textId="77777777" w:rsidR="00333E88" w:rsidRPr="00B26AAE" w:rsidRDefault="00333E88" w:rsidP="009606E0">
      <w:pPr>
        <w:pStyle w:val="FootnoteText"/>
        <w:rPr>
          <w:rFonts w:ascii="Book Antiqua" w:hAnsi="Book Antiqua"/>
          <w:i/>
          <w:iCs/>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Serious Crimes Act 2015 (England and Wales)</w:t>
      </w:r>
      <w:r>
        <w:rPr>
          <w:rFonts w:ascii="Book Antiqua" w:hAnsi="Book Antiqua"/>
          <w:i/>
          <w:iCs/>
        </w:rPr>
        <w:t>.</w:t>
      </w:r>
    </w:p>
  </w:footnote>
  <w:footnote w:id="94">
    <w:p w14:paraId="6FDA9151" w14:textId="77777777" w:rsidR="00333E88" w:rsidRPr="00B26AAE" w:rsidRDefault="00333E88" w:rsidP="009606E0">
      <w:pPr>
        <w:pStyle w:val="FootnoteText"/>
        <w:rPr>
          <w:rFonts w:ascii="Book Antiqua" w:hAnsi="Book Antiqua"/>
          <w:i/>
          <w:iCs/>
        </w:rPr>
      </w:pPr>
      <w:r w:rsidRPr="00B26AAE">
        <w:rPr>
          <w:rStyle w:val="FootnoteReference"/>
          <w:rFonts w:ascii="Book Antiqua" w:hAnsi="Book Antiqua"/>
        </w:rPr>
        <w:footnoteRef/>
      </w:r>
      <w:r w:rsidRPr="00B26AAE">
        <w:rPr>
          <w:rFonts w:ascii="Book Antiqua" w:hAnsi="Book Antiqua"/>
        </w:rPr>
        <w:t xml:space="preserve"> </w:t>
      </w:r>
      <w:r w:rsidRPr="00B26AAE">
        <w:rPr>
          <w:rFonts w:ascii="Book Antiqua" w:hAnsi="Book Antiqua"/>
          <w:i/>
          <w:iCs/>
        </w:rPr>
        <w:t>Domestic Violence Act 2018 (Ireland)</w:t>
      </w:r>
      <w:r>
        <w:rPr>
          <w:rFonts w:ascii="Book Antiqua" w:hAnsi="Book Antiqua"/>
          <w:i/>
          <w:iCs/>
        </w:rPr>
        <w:t>.</w:t>
      </w:r>
    </w:p>
  </w:footnote>
  <w:footnote w:id="95">
    <w:p w14:paraId="2F05BF19" w14:textId="77777777" w:rsidR="00333E88" w:rsidRPr="00AE7CD5" w:rsidRDefault="00333E88" w:rsidP="009606E0">
      <w:pPr>
        <w:pStyle w:val="FootnoteText"/>
        <w:rPr>
          <w:rFonts w:ascii="Book Antiqua" w:hAnsi="Book Antiqua"/>
        </w:rPr>
      </w:pPr>
      <w:r w:rsidRPr="00AE7CD5">
        <w:rPr>
          <w:rStyle w:val="FootnoteReference"/>
          <w:rFonts w:ascii="Book Antiqua" w:hAnsi="Book Antiqua"/>
        </w:rPr>
        <w:footnoteRef/>
      </w:r>
      <w:r w:rsidRPr="00AE7CD5">
        <w:rPr>
          <w:rFonts w:ascii="Book Antiqua" w:hAnsi="Book Antiqua"/>
        </w:rPr>
        <w:t xml:space="preserve"> </w:t>
      </w:r>
      <w:r w:rsidRPr="00AE7CD5">
        <w:rPr>
          <w:rFonts w:ascii="Book Antiqua" w:hAnsi="Book Antiqua"/>
          <w:i/>
          <w:iCs/>
        </w:rPr>
        <w:t xml:space="preserve">Family Violence Act 2004 </w:t>
      </w:r>
      <w:r w:rsidRPr="00AE7CD5">
        <w:rPr>
          <w:rFonts w:ascii="Book Antiqua" w:hAnsi="Book Antiqua"/>
        </w:rPr>
        <w:t>(Tas) ss 8-9A.</w:t>
      </w:r>
    </w:p>
  </w:footnote>
  <w:footnote w:id="96">
    <w:p w14:paraId="1036AA7E" w14:textId="7C826B89" w:rsidR="00D928A6" w:rsidRPr="00D47EEA" w:rsidRDefault="00D928A6" w:rsidP="00D928A6">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w:t>
      </w:r>
      <w:r w:rsidRPr="00AE7CD5">
        <w:rPr>
          <w:rFonts w:ascii="Book Antiqua" w:hAnsi="Book Antiqua"/>
        </w:rPr>
        <w:t xml:space="preserve">NSW Government, </w:t>
      </w:r>
      <w:r w:rsidRPr="00AE7CD5">
        <w:rPr>
          <w:rFonts w:ascii="Book Antiqua" w:hAnsi="Book Antiqua"/>
          <w:i/>
          <w:iCs/>
        </w:rPr>
        <w:t xml:space="preserve">Coercive Control </w:t>
      </w:r>
      <w:r w:rsidRPr="00AE7CD5">
        <w:rPr>
          <w:rFonts w:ascii="Book Antiqua" w:hAnsi="Book Antiqua"/>
        </w:rPr>
        <w:t>(n 8</w:t>
      </w:r>
      <w:r w:rsidR="0044178B">
        <w:rPr>
          <w:rFonts w:ascii="Book Antiqua" w:hAnsi="Book Antiqua"/>
        </w:rPr>
        <w:t>2</w:t>
      </w:r>
      <w:r w:rsidRPr="00AE7CD5">
        <w:rPr>
          <w:rFonts w:ascii="Book Antiqua" w:hAnsi="Book Antiqua"/>
        </w:rPr>
        <w:t xml:space="preserve">) </w:t>
      </w:r>
      <w:r w:rsidRPr="00D47EEA">
        <w:rPr>
          <w:rFonts w:ascii="Book Antiqua" w:hAnsi="Book Antiqua"/>
        </w:rPr>
        <w:t>cl 4.13.</w:t>
      </w:r>
    </w:p>
  </w:footnote>
  <w:footnote w:id="97">
    <w:p w14:paraId="1C3765A3" w14:textId="77777777" w:rsidR="00D928A6" w:rsidRPr="00B26AAE" w:rsidRDefault="00D928A6" w:rsidP="00D928A6">
      <w:pPr>
        <w:pStyle w:val="FootnoteText"/>
        <w:rPr>
          <w:rFonts w:ascii="Book Antiqua" w:hAnsi="Book Antiqua"/>
        </w:rPr>
      </w:pPr>
      <w:r w:rsidRPr="00AE7CD5">
        <w:rPr>
          <w:rStyle w:val="FootnoteReference"/>
          <w:rFonts w:ascii="Book Antiqua" w:hAnsi="Book Antiqua"/>
        </w:rPr>
        <w:footnoteRef/>
      </w:r>
      <w:r w:rsidRPr="00AE7CD5">
        <w:rPr>
          <w:rFonts w:ascii="Book Antiqua" w:hAnsi="Book Antiqua"/>
        </w:rPr>
        <w:t xml:space="preserve"> Ibid </w:t>
      </w:r>
      <w:proofErr w:type="spellStart"/>
      <w:r w:rsidRPr="00AE7CD5">
        <w:rPr>
          <w:rFonts w:ascii="Book Antiqua" w:hAnsi="Book Antiqua"/>
        </w:rPr>
        <w:t>cls</w:t>
      </w:r>
      <w:proofErr w:type="spellEnd"/>
      <w:r w:rsidRPr="00AE7CD5">
        <w:rPr>
          <w:rFonts w:ascii="Book Antiqua" w:hAnsi="Book Antiqua"/>
        </w:rPr>
        <w:t xml:space="preserve"> 4.13, 4.23.</w:t>
      </w:r>
    </w:p>
  </w:footnote>
  <w:footnote w:id="98">
    <w:p w14:paraId="2D4BE968" w14:textId="5AABA7EB" w:rsidR="00333E88" w:rsidRPr="00D47EEA" w:rsidRDefault="00333E88">
      <w:pPr>
        <w:pStyle w:val="FootnoteText"/>
        <w:rPr>
          <w:rFonts w:ascii="Book Antiqua" w:hAnsi="Book Antiqua"/>
        </w:rPr>
      </w:pPr>
      <w:r w:rsidRPr="00D47EEA">
        <w:rPr>
          <w:rStyle w:val="FootnoteReference"/>
          <w:rFonts w:ascii="Book Antiqua" w:hAnsi="Book Antiqua"/>
        </w:rPr>
        <w:footnoteRef/>
      </w:r>
      <w:r w:rsidRPr="00D47EEA">
        <w:rPr>
          <w:rFonts w:ascii="Book Antiqua" w:hAnsi="Book Antiqua"/>
        </w:rPr>
        <w:t xml:space="preserve"> </w:t>
      </w:r>
      <w:r w:rsidR="00200B2A">
        <w:rPr>
          <w:rFonts w:ascii="Book Antiqua" w:hAnsi="Book Antiqua"/>
        </w:rPr>
        <w:t>Ibid</w:t>
      </w:r>
      <w:r w:rsidRPr="00AE7CD5">
        <w:rPr>
          <w:rFonts w:ascii="Book Antiqua" w:hAnsi="Book Antiqua"/>
        </w:rPr>
        <w:t xml:space="preserve"> cl 4.3.</w:t>
      </w:r>
    </w:p>
  </w:footnote>
  <w:footnote w:id="99">
    <w:p w14:paraId="6619589B" w14:textId="322FE9A5" w:rsidR="00333E88" w:rsidRPr="00AE7CD5" w:rsidRDefault="00333E88" w:rsidP="003D64A0">
      <w:pPr>
        <w:pStyle w:val="FootnoteText"/>
        <w:rPr>
          <w:rFonts w:ascii="Book Antiqua" w:hAnsi="Book Antiqua"/>
        </w:rPr>
      </w:pPr>
      <w:r w:rsidRPr="00AE7CD5">
        <w:rPr>
          <w:rStyle w:val="FootnoteReference"/>
          <w:rFonts w:ascii="Book Antiqua" w:hAnsi="Book Antiqua"/>
        </w:rPr>
        <w:footnoteRef/>
      </w:r>
      <w:r w:rsidRPr="00AE7CD5">
        <w:rPr>
          <w:rFonts w:ascii="Book Antiqua" w:hAnsi="Book Antiqua"/>
        </w:rPr>
        <w:t xml:space="preserve"> Ibid cl 4.12.</w:t>
      </w:r>
    </w:p>
  </w:footnote>
  <w:footnote w:id="100">
    <w:p w14:paraId="5FCC3CDF" w14:textId="5A18A97F" w:rsidR="00333E88" w:rsidRPr="001C14D1" w:rsidRDefault="00333E88" w:rsidP="003D64A0">
      <w:pPr>
        <w:pStyle w:val="FootnoteText"/>
        <w:rPr>
          <w:rFonts w:ascii="Book Antiqua" w:hAnsi="Book Antiqua"/>
        </w:rPr>
      </w:pPr>
      <w:r w:rsidRPr="001C14D1">
        <w:rPr>
          <w:rStyle w:val="FootnoteReference"/>
          <w:rFonts w:ascii="Book Antiqua" w:hAnsi="Book Antiqua"/>
        </w:rPr>
        <w:footnoteRef/>
      </w:r>
      <w:r w:rsidRPr="001C14D1">
        <w:rPr>
          <w:rFonts w:ascii="Book Antiqua" w:hAnsi="Book Antiqua"/>
        </w:rPr>
        <w:t xml:space="preserve"> Cecilia Connell, ‘Coercive control inquiry hears harrowing accounts of shame, humiliation and abuse’ </w:t>
      </w:r>
      <w:r w:rsidRPr="001C14D1">
        <w:rPr>
          <w:rFonts w:ascii="Book Antiqua" w:hAnsi="Book Antiqua"/>
          <w:i/>
          <w:iCs/>
        </w:rPr>
        <w:t>ABC</w:t>
      </w:r>
      <w:r w:rsidRPr="001C14D1">
        <w:rPr>
          <w:rFonts w:ascii="Book Antiqua" w:hAnsi="Book Antiqua"/>
        </w:rPr>
        <w:t xml:space="preserve"> (online, 22 February 2021) &lt; </w:t>
      </w:r>
      <w:hyperlink r:id="rId13" w:history="1">
        <w:r w:rsidRPr="00D47EEA">
          <w:rPr>
            <w:rStyle w:val="Hyperlink"/>
            <w:rFonts w:ascii="Book Antiqua" w:hAnsi="Book Antiqua"/>
            <w:color w:val="auto"/>
          </w:rPr>
          <w:t>https://www.abc.net.au/news/2021-02-22/nsw-coercive-control-inquiry-hears-harrowing-tales/13172686</w:t>
        </w:r>
      </w:hyperlink>
      <w:r w:rsidRPr="001C14D1">
        <w:rPr>
          <w:rFonts w:ascii="Book Antiqua" w:hAnsi="Book Antiqua"/>
        </w:rPr>
        <w:t xml:space="preserve">&gt;. </w:t>
      </w:r>
    </w:p>
  </w:footnote>
  <w:footnote w:id="101">
    <w:p w14:paraId="2CDFD5A6" w14:textId="4A97B718" w:rsidR="00333E88" w:rsidRPr="001C14D1" w:rsidRDefault="00333E88" w:rsidP="0045400D">
      <w:pPr>
        <w:pStyle w:val="FootnoteText"/>
        <w:rPr>
          <w:rFonts w:ascii="Book Antiqua" w:hAnsi="Book Antiqua"/>
        </w:rPr>
      </w:pPr>
      <w:r w:rsidRPr="001C14D1">
        <w:rPr>
          <w:rStyle w:val="FootnoteReference"/>
          <w:rFonts w:ascii="Book Antiqua" w:hAnsi="Book Antiqua"/>
        </w:rPr>
        <w:footnoteRef/>
      </w:r>
      <w:r w:rsidRPr="001C14D1">
        <w:rPr>
          <w:rFonts w:ascii="Book Antiqua" w:hAnsi="Book Antiqua"/>
        </w:rPr>
        <w:t xml:space="preserve"> ABC, ‘Changing attitudes is key to stamping out domestic violence: Tasmanian Governor’ </w:t>
      </w:r>
      <w:r w:rsidRPr="001C14D1">
        <w:rPr>
          <w:rFonts w:ascii="Book Antiqua" w:hAnsi="Book Antiqua"/>
          <w:i/>
          <w:iCs/>
        </w:rPr>
        <w:t>ABC</w:t>
      </w:r>
      <w:r w:rsidRPr="001C14D1">
        <w:rPr>
          <w:rFonts w:ascii="Book Antiqua" w:hAnsi="Book Antiqua"/>
        </w:rPr>
        <w:t xml:space="preserve"> (online, 11 March 2015) &lt;</w:t>
      </w:r>
      <w:hyperlink r:id="rId14" w:history="1">
        <w:r w:rsidRPr="00D47EEA">
          <w:rPr>
            <w:rStyle w:val="Hyperlink"/>
            <w:rFonts w:ascii="Book Antiqua" w:hAnsi="Book Antiqua"/>
            <w:color w:val="auto"/>
          </w:rPr>
          <w:t>https://www.abc.net.au/news/2015-03-11/tasmanian-governor-targets-domestic-violence/6300116</w:t>
        </w:r>
      </w:hyperlink>
      <w:r w:rsidRPr="001C14D1">
        <w:rPr>
          <w:rFonts w:ascii="Book Antiqua" w:hAnsi="Book Antiqua"/>
        </w:rPr>
        <w:t xml:space="preserve">&gt;. </w:t>
      </w:r>
    </w:p>
  </w:footnote>
  <w:footnote w:id="102">
    <w:p w14:paraId="1F2A1796" w14:textId="0BDFC2DC" w:rsidR="00333E88" w:rsidRDefault="00333E88">
      <w:pPr>
        <w:pStyle w:val="FootnoteText"/>
      </w:pPr>
      <w:r>
        <w:rPr>
          <w:rStyle w:val="FootnoteReference"/>
        </w:rPr>
        <w:footnoteRef/>
      </w:r>
      <w:r>
        <w:t xml:space="preserve"> </w:t>
      </w:r>
      <w:r w:rsidRPr="00CA113E">
        <w:rPr>
          <w:rFonts w:ascii="Book Antiqua" w:hAnsi="Book Antiqua"/>
        </w:rPr>
        <w:t xml:space="preserve">Yvette </w:t>
      </w:r>
      <w:proofErr w:type="spellStart"/>
      <w:r w:rsidRPr="00CA113E">
        <w:rPr>
          <w:rFonts w:ascii="Book Antiqua" w:hAnsi="Book Antiqua"/>
        </w:rPr>
        <w:t>Vignando</w:t>
      </w:r>
      <w:proofErr w:type="spellEnd"/>
      <w:r w:rsidRPr="00CA113E">
        <w:rPr>
          <w:rFonts w:ascii="Book Antiqua" w:hAnsi="Book Antiqua"/>
        </w:rPr>
        <w:t xml:space="preserve">, ‘Don’t rush into coercive control law: it may not prevent abuse and could even make it worse’ </w:t>
      </w:r>
      <w:r w:rsidRPr="00CA113E">
        <w:rPr>
          <w:rFonts w:ascii="Book Antiqua" w:hAnsi="Book Antiqua"/>
          <w:i/>
          <w:iCs/>
        </w:rPr>
        <w:t xml:space="preserve">Sydney Morning Herald </w:t>
      </w:r>
      <w:r w:rsidRPr="00CA113E">
        <w:rPr>
          <w:rFonts w:ascii="Book Antiqua" w:hAnsi="Book Antiqua"/>
        </w:rPr>
        <w:t>(online, 1 March 2021) &lt;</w:t>
      </w:r>
      <w:hyperlink r:id="rId15" w:history="1">
        <w:r w:rsidRPr="00CA113E">
          <w:rPr>
            <w:rStyle w:val="Hyperlink"/>
            <w:rFonts w:ascii="Book Antiqua" w:hAnsi="Book Antiqua"/>
            <w:color w:val="auto"/>
          </w:rPr>
          <w:t>https://www.smh.com.au/politics/nsw/don-t-rush-into-coercive-control-law-it-may-not-prevent-abuse-and-could-even-make-it-worse-20210226-p57656.html</w:t>
        </w:r>
      </w:hyperlink>
      <w:r w:rsidRPr="00CA113E">
        <w:rPr>
          <w:rFonts w:ascii="Book Antiqua" w:hAnsi="Book Antiqua"/>
        </w:rPr>
        <w:t>&gt;.</w:t>
      </w:r>
    </w:p>
  </w:footnote>
  <w:footnote w:id="103">
    <w:p w14:paraId="6B4A17DE" w14:textId="0AA5BBE9" w:rsidR="00333E88" w:rsidRPr="00B26AAE" w:rsidRDefault="00333E88">
      <w:pPr>
        <w:pStyle w:val="FootnoteText"/>
        <w:rPr>
          <w:rFonts w:ascii="Book Antiqua" w:hAnsi="Book Antiqua"/>
        </w:rPr>
      </w:pPr>
      <w:r w:rsidRPr="00761510">
        <w:rPr>
          <w:rStyle w:val="FootnoteReference"/>
          <w:rFonts w:ascii="Book Antiqua" w:hAnsi="Book Antiqua"/>
        </w:rPr>
        <w:footnoteRef/>
      </w:r>
      <w:r w:rsidRPr="00761510">
        <w:rPr>
          <w:rFonts w:ascii="Book Antiqua" w:hAnsi="Book Antiqua"/>
        </w:rPr>
        <w:t xml:space="preserve"> </w:t>
      </w:r>
      <w:r>
        <w:rPr>
          <w:rFonts w:ascii="Book Antiqua" w:hAnsi="Book Antiqua"/>
        </w:rPr>
        <w:t xml:space="preserve">Joint Standing Committee on Coercive Control, </w:t>
      </w:r>
      <w:r w:rsidRPr="00CA113E">
        <w:rPr>
          <w:rFonts w:ascii="Book Antiqua" w:hAnsi="Book Antiqua"/>
          <w:i/>
          <w:iCs/>
        </w:rPr>
        <w:t xml:space="preserve">Coercive Control in </w:t>
      </w:r>
      <w:r>
        <w:rPr>
          <w:rFonts w:ascii="Book Antiqua" w:hAnsi="Book Antiqua"/>
          <w:i/>
          <w:iCs/>
        </w:rPr>
        <w:t>Domestic Relationships</w:t>
      </w:r>
      <w:r>
        <w:rPr>
          <w:rFonts w:ascii="Book Antiqua" w:hAnsi="Book Antiqua"/>
        </w:rPr>
        <w:t xml:space="preserve"> (n </w:t>
      </w:r>
      <w:r w:rsidR="00815998">
        <w:rPr>
          <w:rFonts w:ascii="Book Antiqua" w:hAnsi="Book Antiqua"/>
        </w:rPr>
        <w:t>12</w:t>
      </w:r>
      <w:r>
        <w:rPr>
          <w:rFonts w:ascii="Book Antiqua" w:hAnsi="Book Antiqua"/>
        </w:rPr>
        <w:t>).</w:t>
      </w:r>
    </w:p>
  </w:footnote>
  <w:footnote w:id="104">
    <w:p w14:paraId="6BCE5555" w14:textId="77777777" w:rsidR="003F285D" w:rsidRPr="00B26AAE" w:rsidRDefault="003F285D" w:rsidP="003F285D">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Law Society of NSW, Submission No 18 to</w:t>
      </w:r>
      <w:r w:rsidRPr="00AD3B64">
        <w:rPr>
          <w:rFonts w:ascii="Book Antiqua" w:hAnsi="Book Antiqua"/>
          <w:i/>
          <w:iCs/>
        </w:rPr>
        <w:t xml:space="preserve"> </w:t>
      </w:r>
      <w:r w:rsidRPr="00AD3B64">
        <w:rPr>
          <w:rFonts w:ascii="Book Antiqua" w:hAnsi="Book Antiqua"/>
        </w:rPr>
        <w:t>Joint Standing Committee on Coercive Contr</w:t>
      </w:r>
      <w:r>
        <w:rPr>
          <w:rFonts w:ascii="Book Antiqua" w:hAnsi="Book Antiqua"/>
        </w:rPr>
        <w:t>ol</w:t>
      </w:r>
      <w:r w:rsidRPr="00AD3B64">
        <w:rPr>
          <w:rFonts w:ascii="Book Antiqua" w:hAnsi="Book Antiqua"/>
          <w:i/>
          <w:iCs/>
        </w:rPr>
        <w:t>,</w:t>
      </w:r>
      <w:r>
        <w:rPr>
          <w:rFonts w:ascii="Book Antiqua" w:hAnsi="Book Antiqua"/>
        </w:rPr>
        <w:t xml:space="preserve"> </w:t>
      </w:r>
      <w:r>
        <w:rPr>
          <w:rFonts w:ascii="Book Antiqua" w:hAnsi="Book Antiqua"/>
          <w:i/>
          <w:iCs/>
        </w:rPr>
        <w:t>Coercive Control in Domestic Relationships</w:t>
      </w:r>
      <w:r w:rsidRPr="00B26AAE">
        <w:rPr>
          <w:rFonts w:ascii="Book Antiqua" w:hAnsi="Book Antiqua"/>
          <w:i/>
          <w:iCs/>
        </w:rPr>
        <w:t xml:space="preserve"> </w:t>
      </w:r>
      <w:r w:rsidRPr="00B26AAE">
        <w:rPr>
          <w:rFonts w:ascii="Book Antiqua" w:hAnsi="Book Antiqua"/>
        </w:rPr>
        <w:t xml:space="preserve">(27 January 2021). </w:t>
      </w:r>
    </w:p>
  </w:footnote>
  <w:footnote w:id="105">
    <w:p w14:paraId="7692E5DC" w14:textId="530868B6"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Public Defenders (NSW), Submission No 97 to</w:t>
      </w:r>
      <w:r w:rsidRPr="00CA113E">
        <w:rPr>
          <w:rFonts w:ascii="Book Antiqua" w:hAnsi="Book Antiqua"/>
          <w:i/>
          <w:iCs/>
        </w:rPr>
        <w:t xml:space="preserve"> </w:t>
      </w:r>
      <w:r w:rsidRPr="00CA113E">
        <w:rPr>
          <w:rFonts w:ascii="Book Antiqua" w:hAnsi="Book Antiqua"/>
        </w:rPr>
        <w:t>Joint Standing Committee on Coercive Contr</w:t>
      </w:r>
      <w:r>
        <w:rPr>
          <w:rFonts w:ascii="Book Antiqua" w:hAnsi="Book Antiqua"/>
        </w:rPr>
        <w:t>ol</w:t>
      </w:r>
      <w:r w:rsidRPr="00CA113E">
        <w:rPr>
          <w:rFonts w:ascii="Book Antiqua" w:hAnsi="Book Antiqua"/>
          <w:i/>
          <w:iCs/>
        </w:rPr>
        <w:t>,</w:t>
      </w:r>
      <w:r>
        <w:rPr>
          <w:rFonts w:ascii="Book Antiqua" w:hAnsi="Book Antiqua"/>
        </w:rPr>
        <w:t xml:space="preserve"> </w:t>
      </w:r>
      <w:r>
        <w:rPr>
          <w:rFonts w:ascii="Book Antiqua" w:hAnsi="Book Antiqua"/>
          <w:i/>
          <w:iCs/>
        </w:rPr>
        <w:t>Coercive Control in Domestic Relationships</w:t>
      </w:r>
      <w:r w:rsidRPr="00B26AAE">
        <w:rPr>
          <w:rFonts w:ascii="Book Antiqua" w:hAnsi="Book Antiqua"/>
          <w:i/>
          <w:iCs/>
        </w:rPr>
        <w:t xml:space="preserve"> </w:t>
      </w:r>
      <w:r w:rsidRPr="00B26AAE">
        <w:rPr>
          <w:rFonts w:ascii="Book Antiqua" w:hAnsi="Book Antiqua"/>
        </w:rPr>
        <w:t xml:space="preserve">(29 January 2021). </w:t>
      </w:r>
    </w:p>
  </w:footnote>
  <w:footnote w:id="106">
    <w:p w14:paraId="27AA0F20" w14:textId="13FAE8E5" w:rsidR="00333E88" w:rsidRPr="00B26AAE" w:rsidRDefault="00333E88">
      <w:pPr>
        <w:pStyle w:val="FootnoteText"/>
        <w:rPr>
          <w:rFonts w:ascii="Book Antiqua" w:hAnsi="Book Antiqua"/>
        </w:rPr>
      </w:pPr>
      <w:r w:rsidRPr="00B26AAE">
        <w:rPr>
          <w:rStyle w:val="FootnoteReference"/>
          <w:rFonts w:ascii="Book Antiqua" w:hAnsi="Book Antiqua"/>
        </w:rPr>
        <w:footnoteRef/>
      </w:r>
      <w:r w:rsidRPr="00B26AAE">
        <w:rPr>
          <w:rFonts w:ascii="Book Antiqua" w:hAnsi="Book Antiqua"/>
        </w:rPr>
        <w:t xml:space="preserve"> Aboriginal Legal Service (NSW/ACT Limited), Submission No 148 to</w:t>
      </w:r>
      <w:r w:rsidRPr="00CA113E">
        <w:rPr>
          <w:rFonts w:ascii="Book Antiqua" w:hAnsi="Book Antiqua"/>
          <w:i/>
          <w:iCs/>
        </w:rPr>
        <w:t xml:space="preserve"> </w:t>
      </w:r>
      <w:r w:rsidRPr="00CA113E">
        <w:rPr>
          <w:rFonts w:ascii="Book Antiqua" w:hAnsi="Book Antiqua"/>
        </w:rPr>
        <w:t>Joint Standing Committee on Coercive Contr</w:t>
      </w:r>
      <w:r>
        <w:rPr>
          <w:rFonts w:ascii="Book Antiqua" w:hAnsi="Book Antiqua"/>
        </w:rPr>
        <w:t>ol</w:t>
      </w:r>
      <w:r w:rsidRPr="00CA113E">
        <w:rPr>
          <w:rFonts w:ascii="Book Antiqua" w:hAnsi="Book Antiqua"/>
          <w:i/>
          <w:iCs/>
        </w:rPr>
        <w:t>,</w:t>
      </w:r>
      <w:r>
        <w:rPr>
          <w:rFonts w:ascii="Book Antiqua" w:hAnsi="Book Antiqua"/>
        </w:rPr>
        <w:t xml:space="preserve"> </w:t>
      </w:r>
      <w:r>
        <w:rPr>
          <w:rFonts w:ascii="Book Antiqua" w:hAnsi="Book Antiqua"/>
          <w:i/>
          <w:iCs/>
        </w:rPr>
        <w:t>Coercive Control in Domestic Relationships</w:t>
      </w:r>
      <w:r w:rsidRPr="00B26AAE">
        <w:rPr>
          <w:rFonts w:ascii="Book Antiqua" w:hAnsi="Book Antiqua"/>
          <w:i/>
          <w:iCs/>
        </w:rPr>
        <w:t xml:space="preserve"> </w:t>
      </w:r>
      <w:r w:rsidRPr="00B26AAE">
        <w:rPr>
          <w:rFonts w:ascii="Book Antiqua" w:hAnsi="Book Antiqua"/>
        </w:rPr>
        <w:t>(1 March 2021).</w:t>
      </w:r>
    </w:p>
  </w:footnote>
  <w:footnote w:id="107">
    <w:p w14:paraId="06602805" w14:textId="45458143" w:rsidR="00333E88" w:rsidRPr="00E822F3" w:rsidRDefault="00333E88">
      <w:pPr>
        <w:pStyle w:val="FootnoteText"/>
        <w:rPr>
          <w:rFonts w:ascii="Book Antiqua" w:hAnsi="Book Antiqua"/>
        </w:rPr>
      </w:pPr>
      <w:r w:rsidRPr="00E822F3">
        <w:rPr>
          <w:rStyle w:val="FootnoteReference"/>
          <w:rFonts w:ascii="Book Antiqua" w:hAnsi="Book Antiqua"/>
        </w:rPr>
        <w:footnoteRef/>
      </w:r>
      <w:r w:rsidRPr="00E822F3">
        <w:rPr>
          <w:rFonts w:ascii="Book Antiqua" w:hAnsi="Book Antiqua"/>
        </w:rPr>
        <w:t xml:space="preserve"> Legal Aid NSW, Submission No 139 to</w:t>
      </w:r>
      <w:r w:rsidRPr="00E822F3">
        <w:rPr>
          <w:rFonts w:ascii="Book Antiqua" w:hAnsi="Book Antiqua"/>
          <w:i/>
          <w:iCs/>
        </w:rPr>
        <w:t xml:space="preserve"> </w:t>
      </w:r>
      <w:r w:rsidRPr="00E822F3">
        <w:rPr>
          <w:rFonts w:ascii="Book Antiqua" w:hAnsi="Book Antiqua"/>
        </w:rPr>
        <w:t>Joint Standing Committee on Coercive Control</w:t>
      </w:r>
      <w:r w:rsidRPr="00E822F3">
        <w:rPr>
          <w:rFonts w:ascii="Book Antiqua" w:hAnsi="Book Antiqua"/>
          <w:i/>
          <w:iCs/>
        </w:rPr>
        <w:t>,</w:t>
      </w:r>
      <w:r w:rsidRPr="00E822F3">
        <w:rPr>
          <w:rFonts w:ascii="Book Antiqua" w:hAnsi="Book Antiqua"/>
        </w:rPr>
        <w:t xml:space="preserve"> </w:t>
      </w:r>
      <w:r w:rsidRPr="00E822F3">
        <w:rPr>
          <w:rFonts w:ascii="Book Antiqua" w:hAnsi="Book Antiqua"/>
          <w:i/>
          <w:iCs/>
        </w:rPr>
        <w:t xml:space="preserve">Coercive Control in Domestic Relationships </w:t>
      </w:r>
      <w:r w:rsidRPr="00E822F3">
        <w:rPr>
          <w:rFonts w:ascii="Book Antiqua" w:hAnsi="Book Antiqua"/>
        </w:rPr>
        <w:t xml:space="preserve">(19 February 2021). </w:t>
      </w:r>
    </w:p>
  </w:footnote>
  <w:footnote w:id="108">
    <w:p w14:paraId="64D055EC" w14:textId="71E9C3D3" w:rsidR="00E822F3" w:rsidRDefault="00E822F3">
      <w:pPr>
        <w:pStyle w:val="FootnoteText"/>
      </w:pPr>
      <w:r w:rsidRPr="00E822F3">
        <w:rPr>
          <w:rStyle w:val="FootnoteReference"/>
          <w:rFonts w:ascii="Book Antiqua" w:hAnsi="Book Antiqua"/>
        </w:rPr>
        <w:footnoteRef/>
      </w:r>
      <w:r w:rsidRPr="00E822F3">
        <w:rPr>
          <w:rFonts w:ascii="Book Antiqua" w:hAnsi="Book Antiqua"/>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8F3"/>
    <w:multiLevelType w:val="multilevel"/>
    <w:tmpl w:val="294A7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3E5D"/>
    <w:multiLevelType w:val="hybridMultilevel"/>
    <w:tmpl w:val="EE305F6E"/>
    <w:lvl w:ilvl="0" w:tplc="93CEE240">
      <w:start w:val="1"/>
      <w:numFmt w:val="decimal"/>
      <w:pStyle w:val="NumParra"/>
      <w:lvlText w:val="%1."/>
      <w:lvlJc w:val="left"/>
      <w:pPr>
        <w:ind w:left="786" w:hanging="360"/>
      </w:pPr>
      <w:rPr>
        <w:rFonts w:ascii="Book Antiqua" w:hAnsi="Book Antiqua" w:hint="default"/>
        <w:b w:val="0"/>
        <w:bCs w:val="0"/>
        <w:i w:val="0"/>
        <w:iCs w:val="0"/>
        <w:sz w:val="24"/>
        <w:szCs w:val="24"/>
      </w:rPr>
    </w:lvl>
    <w:lvl w:ilvl="1" w:tplc="18004066">
      <w:start w:val="1"/>
      <w:numFmt w:val="lowerLetter"/>
      <w:pStyle w:val="SubParra"/>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E638C"/>
    <w:multiLevelType w:val="hybridMultilevel"/>
    <w:tmpl w:val="5BBC9F2A"/>
    <w:lvl w:ilvl="0" w:tplc="2A0EBAA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F5336"/>
    <w:multiLevelType w:val="hybridMultilevel"/>
    <w:tmpl w:val="A6F20E12"/>
    <w:lvl w:ilvl="0" w:tplc="8E280C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05224"/>
    <w:multiLevelType w:val="hybridMultilevel"/>
    <w:tmpl w:val="CB6A3EAC"/>
    <w:lvl w:ilvl="0" w:tplc="9A9AABD6">
      <w:start w:val="1"/>
      <w:numFmt w:val="decimal"/>
      <w:lvlText w:val="%1."/>
      <w:lvlJc w:val="left"/>
      <w:pPr>
        <w:ind w:left="360" w:hanging="360"/>
      </w:pPr>
      <w:rPr>
        <w:rFonts w:hint="default"/>
        <w:b w:val="0"/>
        <w:bCs w:val="0"/>
        <w:i w:val="0"/>
        <w:iCs w:val="0"/>
      </w:rPr>
    </w:lvl>
    <w:lvl w:ilvl="1" w:tplc="040C0019">
      <w:start w:val="1"/>
      <w:numFmt w:val="lowerLetter"/>
      <w:lvlText w:val="%2."/>
      <w:lvlJc w:val="left"/>
      <w:pPr>
        <w:ind w:left="1440" w:hanging="360"/>
      </w:pPr>
    </w:lvl>
    <w:lvl w:ilvl="2" w:tplc="040C001B">
      <w:start w:val="1"/>
      <w:numFmt w:val="lowerRoman"/>
      <w:lvlText w:val="%3."/>
      <w:lvlJc w:val="right"/>
      <w:pPr>
        <w:ind w:left="1882"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207A6E"/>
    <w:multiLevelType w:val="hybridMultilevel"/>
    <w:tmpl w:val="6516942A"/>
    <w:lvl w:ilvl="0" w:tplc="9DDCA0E6">
      <w:start w:val="1"/>
      <w:numFmt w:val="lowerLetter"/>
      <w:lvlText w:val="(%1)"/>
      <w:lvlJc w:val="left"/>
      <w:pPr>
        <w:ind w:left="1506" w:hanging="360"/>
      </w:pPr>
      <w:rPr>
        <w:rFonts w:ascii="Book Antiqua" w:eastAsiaTheme="minorHAnsi" w:hAnsi="Book Antiqua" w:cs="Arial"/>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6" w15:restartNumberingAfterBreak="0">
    <w:nsid w:val="44827EC0"/>
    <w:multiLevelType w:val="hybridMultilevel"/>
    <w:tmpl w:val="7F6CC5A4"/>
    <w:lvl w:ilvl="0" w:tplc="650E52F8">
      <w:start w:val="1"/>
      <w:numFmt w:val="upp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479155CD"/>
    <w:multiLevelType w:val="multilevel"/>
    <w:tmpl w:val="B94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CF72CE"/>
    <w:multiLevelType w:val="hybridMultilevel"/>
    <w:tmpl w:val="5D804E7C"/>
    <w:lvl w:ilvl="0" w:tplc="D93C73D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A347983"/>
    <w:multiLevelType w:val="hybridMultilevel"/>
    <w:tmpl w:val="A484FB12"/>
    <w:lvl w:ilvl="0" w:tplc="24B478C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A654FB7"/>
    <w:multiLevelType w:val="hybridMultilevel"/>
    <w:tmpl w:val="BE3CA4C8"/>
    <w:lvl w:ilvl="0" w:tplc="0C090017">
      <w:start w:val="1"/>
      <w:numFmt w:val="lowerLetter"/>
      <w:lvlText w:val="%1)"/>
      <w:lvlJc w:val="lef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1" w15:restartNumberingAfterBreak="0">
    <w:nsid w:val="4E3B65BE"/>
    <w:multiLevelType w:val="hybridMultilevel"/>
    <w:tmpl w:val="09D0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427B3"/>
    <w:multiLevelType w:val="hybridMultilevel"/>
    <w:tmpl w:val="5332016C"/>
    <w:lvl w:ilvl="0" w:tplc="857454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15F4835"/>
    <w:multiLevelType w:val="hybridMultilevel"/>
    <w:tmpl w:val="48FAEFFA"/>
    <w:lvl w:ilvl="0" w:tplc="0C090017">
      <w:start w:val="1"/>
      <w:numFmt w:val="lowerLetter"/>
      <w:lvlText w:val="%1)"/>
      <w:lvlJc w:val="lef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4" w15:restartNumberingAfterBreak="0">
    <w:nsid w:val="70594E54"/>
    <w:multiLevelType w:val="hybridMultilevel"/>
    <w:tmpl w:val="6E6CB368"/>
    <w:lvl w:ilvl="0" w:tplc="D1E4A0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B536D0B"/>
    <w:multiLevelType w:val="hybridMultilevel"/>
    <w:tmpl w:val="C0DEA818"/>
    <w:lvl w:ilvl="0" w:tplc="6960FFCC">
      <w:start w:val="1"/>
      <w:numFmt w:val="bullet"/>
      <w:lvlText w:val="-"/>
      <w:lvlJc w:val="left"/>
      <w:pPr>
        <w:ind w:left="720" w:hanging="360"/>
      </w:pPr>
      <w:rPr>
        <w:rFonts w:ascii="Book Antiqua" w:eastAsiaTheme="minorHAnsi" w:hAnsi="Book Antiqu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298"/>
    </w:lvlOverride>
  </w:num>
  <w:num w:numId="4">
    <w:abstractNumId w:val="15"/>
  </w:num>
  <w:num w:numId="5">
    <w:abstractNumId w:val="3"/>
  </w:num>
  <w:num w:numId="6">
    <w:abstractNumId w:val="2"/>
  </w:num>
  <w:num w:numId="7">
    <w:abstractNumId w:val="7"/>
  </w:num>
  <w:num w:numId="8">
    <w:abstractNumId w:val="12"/>
  </w:num>
  <w:num w:numId="9">
    <w:abstractNumId w:val="11"/>
  </w:num>
  <w:num w:numId="10">
    <w:abstractNumId w:val="13"/>
  </w:num>
  <w:num w:numId="11">
    <w:abstractNumId w:val="1"/>
    <w:lvlOverride w:ilvl="0">
      <w:startOverride w:val="1"/>
    </w:lvlOverride>
  </w:num>
  <w:num w:numId="12">
    <w:abstractNumId w:val="10"/>
  </w:num>
  <w:num w:numId="13">
    <w:abstractNumId w:val="5"/>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6"/>
  </w:num>
  <w:num w:numId="23">
    <w:abstractNumId w:val="14"/>
  </w:num>
  <w:num w:numId="24">
    <w:abstractNumId w:val="1"/>
  </w:num>
  <w:num w:numId="25">
    <w:abstractNumId w:val="9"/>
  </w:num>
  <w:num w:numId="26">
    <w:abstractNumId w:val="1"/>
  </w:num>
  <w:num w:numId="27">
    <w:abstractNumId w:val="8"/>
  </w:num>
  <w:num w:numId="28">
    <w:abstractNumId w:val="1"/>
  </w:num>
  <w:num w:numId="29">
    <w:abstractNumId w:val="1"/>
  </w:num>
  <w:num w:numId="30">
    <w:abstractNumId w:val="1"/>
  </w:num>
  <w:num w:numId="31">
    <w:abstractNumId w:val="1"/>
  </w:num>
  <w:num w:numId="32">
    <w:abstractNumId w:val="1"/>
    <w:lvlOverride w:ilvl="0">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11"/>
    <w:rsid w:val="00000AF4"/>
    <w:rsid w:val="00000C08"/>
    <w:rsid w:val="00000E79"/>
    <w:rsid w:val="00002CCB"/>
    <w:rsid w:val="00004094"/>
    <w:rsid w:val="00004D34"/>
    <w:rsid w:val="00005010"/>
    <w:rsid w:val="00007CD6"/>
    <w:rsid w:val="0001018A"/>
    <w:rsid w:val="000108A9"/>
    <w:rsid w:val="000119A7"/>
    <w:rsid w:val="00011D5A"/>
    <w:rsid w:val="00011D83"/>
    <w:rsid w:val="000129EC"/>
    <w:rsid w:val="00012AF4"/>
    <w:rsid w:val="00013498"/>
    <w:rsid w:val="00013BD8"/>
    <w:rsid w:val="00013C7B"/>
    <w:rsid w:val="00014CFE"/>
    <w:rsid w:val="000152FD"/>
    <w:rsid w:val="00015BAB"/>
    <w:rsid w:val="00015CCD"/>
    <w:rsid w:val="0001674E"/>
    <w:rsid w:val="00017D80"/>
    <w:rsid w:val="00020182"/>
    <w:rsid w:val="00020DF9"/>
    <w:rsid w:val="00021430"/>
    <w:rsid w:val="000218EF"/>
    <w:rsid w:val="00022B68"/>
    <w:rsid w:val="00024368"/>
    <w:rsid w:val="000247B7"/>
    <w:rsid w:val="00025A68"/>
    <w:rsid w:val="00025CBA"/>
    <w:rsid w:val="00026811"/>
    <w:rsid w:val="00027126"/>
    <w:rsid w:val="00027484"/>
    <w:rsid w:val="000308DA"/>
    <w:rsid w:val="00030CE4"/>
    <w:rsid w:val="00031384"/>
    <w:rsid w:val="000319AA"/>
    <w:rsid w:val="0003286D"/>
    <w:rsid w:val="000335B6"/>
    <w:rsid w:val="000336A0"/>
    <w:rsid w:val="000342D7"/>
    <w:rsid w:val="000345C9"/>
    <w:rsid w:val="00035B43"/>
    <w:rsid w:val="00037116"/>
    <w:rsid w:val="00040742"/>
    <w:rsid w:val="00040DF2"/>
    <w:rsid w:val="00041C54"/>
    <w:rsid w:val="00042181"/>
    <w:rsid w:val="0004240E"/>
    <w:rsid w:val="000424A5"/>
    <w:rsid w:val="00043863"/>
    <w:rsid w:val="00043C04"/>
    <w:rsid w:val="00044112"/>
    <w:rsid w:val="0004485D"/>
    <w:rsid w:val="00045AFB"/>
    <w:rsid w:val="00046949"/>
    <w:rsid w:val="0004707D"/>
    <w:rsid w:val="00047D3F"/>
    <w:rsid w:val="000501C0"/>
    <w:rsid w:val="00051DC8"/>
    <w:rsid w:val="0005347B"/>
    <w:rsid w:val="000548DE"/>
    <w:rsid w:val="0005491C"/>
    <w:rsid w:val="00054DC9"/>
    <w:rsid w:val="00055329"/>
    <w:rsid w:val="000563AB"/>
    <w:rsid w:val="00056900"/>
    <w:rsid w:val="00057D8D"/>
    <w:rsid w:val="00060380"/>
    <w:rsid w:val="00062361"/>
    <w:rsid w:val="00063DC6"/>
    <w:rsid w:val="00065D73"/>
    <w:rsid w:val="000660AA"/>
    <w:rsid w:val="000667D9"/>
    <w:rsid w:val="00066E62"/>
    <w:rsid w:val="00067D25"/>
    <w:rsid w:val="00070026"/>
    <w:rsid w:val="00070F4C"/>
    <w:rsid w:val="000723E4"/>
    <w:rsid w:val="0007381C"/>
    <w:rsid w:val="000744B9"/>
    <w:rsid w:val="00074D20"/>
    <w:rsid w:val="000753D9"/>
    <w:rsid w:val="00075E61"/>
    <w:rsid w:val="00075E71"/>
    <w:rsid w:val="00076D40"/>
    <w:rsid w:val="000778AF"/>
    <w:rsid w:val="000778F9"/>
    <w:rsid w:val="00080316"/>
    <w:rsid w:val="000825F2"/>
    <w:rsid w:val="0008337C"/>
    <w:rsid w:val="00083BE4"/>
    <w:rsid w:val="000844DB"/>
    <w:rsid w:val="00085A01"/>
    <w:rsid w:val="0008634E"/>
    <w:rsid w:val="0008678A"/>
    <w:rsid w:val="000874A1"/>
    <w:rsid w:val="0009058D"/>
    <w:rsid w:val="00095727"/>
    <w:rsid w:val="00096F77"/>
    <w:rsid w:val="00097947"/>
    <w:rsid w:val="000A033F"/>
    <w:rsid w:val="000A0EFF"/>
    <w:rsid w:val="000A1A2B"/>
    <w:rsid w:val="000A226B"/>
    <w:rsid w:val="000A3668"/>
    <w:rsid w:val="000A3B8D"/>
    <w:rsid w:val="000A3E40"/>
    <w:rsid w:val="000A4E52"/>
    <w:rsid w:val="000A537F"/>
    <w:rsid w:val="000A636C"/>
    <w:rsid w:val="000A6381"/>
    <w:rsid w:val="000A75E0"/>
    <w:rsid w:val="000B0B87"/>
    <w:rsid w:val="000B265A"/>
    <w:rsid w:val="000B2B08"/>
    <w:rsid w:val="000B2B29"/>
    <w:rsid w:val="000B32FA"/>
    <w:rsid w:val="000B3B82"/>
    <w:rsid w:val="000B4195"/>
    <w:rsid w:val="000B4801"/>
    <w:rsid w:val="000B48B8"/>
    <w:rsid w:val="000B624C"/>
    <w:rsid w:val="000C1C93"/>
    <w:rsid w:val="000C2364"/>
    <w:rsid w:val="000C394A"/>
    <w:rsid w:val="000C3FA7"/>
    <w:rsid w:val="000C50FE"/>
    <w:rsid w:val="000C760D"/>
    <w:rsid w:val="000D0A3E"/>
    <w:rsid w:val="000D0C1A"/>
    <w:rsid w:val="000D1648"/>
    <w:rsid w:val="000D2652"/>
    <w:rsid w:val="000D2D7F"/>
    <w:rsid w:val="000D37B5"/>
    <w:rsid w:val="000D48BD"/>
    <w:rsid w:val="000D792E"/>
    <w:rsid w:val="000E0D70"/>
    <w:rsid w:val="000E1848"/>
    <w:rsid w:val="000E27ED"/>
    <w:rsid w:val="000E346C"/>
    <w:rsid w:val="000E3E1A"/>
    <w:rsid w:val="000E4B3C"/>
    <w:rsid w:val="000F23C6"/>
    <w:rsid w:val="000F37A8"/>
    <w:rsid w:val="000F3C2C"/>
    <w:rsid w:val="000F5027"/>
    <w:rsid w:val="000F5B14"/>
    <w:rsid w:val="000F5D24"/>
    <w:rsid w:val="000F67F1"/>
    <w:rsid w:val="000F713F"/>
    <w:rsid w:val="00100F65"/>
    <w:rsid w:val="0010161A"/>
    <w:rsid w:val="00101665"/>
    <w:rsid w:val="00101B50"/>
    <w:rsid w:val="001029CB"/>
    <w:rsid w:val="001033CD"/>
    <w:rsid w:val="00104AF3"/>
    <w:rsid w:val="0010625B"/>
    <w:rsid w:val="00107084"/>
    <w:rsid w:val="0010771E"/>
    <w:rsid w:val="00107A21"/>
    <w:rsid w:val="00107ED1"/>
    <w:rsid w:val="0011096B"/>
    <w:rsid w:val="00111099"/>
    <w:rsid w:val="0011167B"/>
    <w:rsid w:val="0011287E"/>
    <w:rsid w:val="00112C62"/>
    <w:rsid w:val="0011321E"/>
    <w:rsid w:val="00114138"/>
    <w:rsid w:val="001153D7"/>
    <w:rsid w:val="001162E7"/>
    <w:rsid w:val="00122B56"/>
    <w:rsid w:val="00122D75"/>
    <w:rsid w:val="00123170"/>
    <w:rsid w:val="0012393B"/>
    <w:rsid w:val="00124224"/>
    <w:rsid w:val="00124C18"/>
    <w:rsid w:val="0012570B"/>
    <w:rsid w:val="0012573B"/>
    <w:rsid w:val="00125FE3"/>
    <w:rsid w:val="00126969"/>
    <w:rsid w:val="00130277"/>
    <w:rsid w:val="00130E5F"/>
    <w:rsid w:val="00131637"/>
    <w:rsid w:val="0013231C"/>
    <w:rsid w:val="0013281E"/>
    <w:rsid w:val="0013286C"/>
    <w:rsid w:val="0013366E"/>
    <w:rsid w:val="00133BE0"/>
    <w:rsid w:val="00134620"/>
    <w:rsid w:val="00134A96"/>
    <w:rsid w:val="00134D07"/>
    <w:rsid w:val="0013562F"/>
    <w:rsid w:val="001361B4"/>
    <w:rsid w:val="00136D3C"/>
    <w:rsid w:val="001370D4"/>
    <w:rsid w:val="00141274"/>
    <w:rsid w:val="001424DA"/>
    <w:rsid w:val="00143478"/>
    <w:rsid w:val="00144A1F"/>
    <w:rsid w:val="001458D8"/>
    <w:rsid w:val="00146608"/>
    <w:rsid w:val="001473CA"/>
    <w:rsid w:val="001512B6"/>
    <w:rsid w:val="00151816"/>
    <w:rsid w:val="00153070"/>
    <w:rsid w:val="00153A80"/>
    <w:rsid w:val="0015436F"/>
    <w:rsid w:val="00154B26"/>
    <w:rsid w:val="001550DD"/>
    <w:rsid w:val="00155B12"/>
    <w:rsid w:val="00156288"/>
    <w:rsid w:val="00156A53"/>
    <w:rsid w:val="00157218"/>
    <w:rsid w:val="0015773C"/>
    <w:rsid w:val="00157BFF"/>
    <w:rsid w:val="001618D3"/>
    <w:rsid w:val="00161E75"/>
    <w:rsid w:val="00162C3F"/>
    <w:rsid w:val="00163B94"/>
    <w:rsid w:val="00164286"/>
    <w:rsid w:val="0016674A"/>
    <w:rsid w:val="00166C5A"/>
    <w:rsid w:val="00166CA8"/>
    <w:rsid w:val="00170B90"/>
    <w:rsid w:val="0017226E"/>
    <w:rsid w:val="00172BEC"/>
    <w:rsid w:val="00172C0A"/>
    <w:rsid w:val="0018034E"/>
    <w:rsid w:val="00180D46"/>
    <w:rsid w:val="00181BF2"/>
    <w:rsid w:val="00182892"/>
    <w:rsid w:val="00182B40"/>
    <w:rsid w:val="00182DDB"/>
    <w:rsid w:val="001840FB"/>
    <w:rsid w:val="001855C3"/>
    <w:rsid w:val="0018580D"/>
    <w:rsid w:val="00186B4C"/>
    <w:rsid w:val="001900F8"/>
    <w:rsid w:val="00190300"/>
    <w:rsid w:val="00191D1F"/>
    <w:rsid w:val="00191D49"/>
    <w:rsid w:val="00191F00"/>
    <w:rsid w:val="001930CE"/>
    <w:rsid w:val="00193270"/>
    <w:rsid w:val="00193877"/>
    <w:rsid w:val="00193BE8"/>
    <w:rsid w:val="001946DF"/>
    <w:rsid w:val="001953CD"/>
    <w:rsid w:val="001963F3"/>
    <w:rsid w:val="00197B99"/>
    <w:rsid w:val="001A08AA"/>
    <w:rsid w:val="001A0A63"/>
    <w:rsid w:val="001A1409"/>
    <w:rsid w:val="001A1BE8"/>
    <w:rsid w:val="001A1BEB"/>
    <w:rsid w:val="001A24A6"/>
    <w:rsid w:val="001A287C"/>
    <w:rsid w:val="001A347A"/>
    <w:rsid w:val="001A47B3"/>
    <w:rsid w:val="001A5FAF"/>
    <w:rsid w:val="001B0245"/>
    <w:rsid w:val="001B114B"/>
    <w:rsid w:val="001B3C4E"/>
    <w:rsid w:val="001B495A"/>
    <w:rsid w:val="001B52AD"/>
    <w:rsid w:val="001B5775"/>
    <w:rsid w:val="001B5EEA"/>
    <w:rsid w:val="001B6E49"/>
    <w:rsid w:val="001B7F72"/>
    <w:rsid w:val="001C0105"/>
    <w:rsid w:val="001C0B18"/>
    <w:rsid w:val="001C1038"/>
    <w:rsid w:val="001C124C"/>
    <w:rsid w:val="001C14D1"/>
    <w:rsid w:val="001C158B"/>
    <w:rsid w:val="001C22DF"/>
    <w:rsid w:val="001C2B6A"/>
    <w:rsid w:val="001C409C"/>
    <w:rsid w:val="001D0309"/>
    <w:rsid w:val="001D167F"/>
    <w:rsid w:val="001D1C32"/>
    <w:rsid w:val="001D26A9"/>
    <w:rsid w:val="001D26C2"/>
    <w:rsid w:val="001D3208"/>
    <w:rsid w:val="001D3806"/>
    <w:rsid w:val="001D4687"/>
    <w:rsid w:val="001D4A52"/>
    <w:rsid w:val="001D5F48"/>
    <w:rsid w:val="001D67DB"/>
    <w:rsid w:val="001E1383"/>
    <w:rsid w:val="001E149D"/>
    <w:rsid w:val="001E34B8"/>
    <w:rsid w:val="001E3BDB"/>
    <w:rsid w:val="001E64AE"/>
    <w:rsid w:val="001E64B1"/>
    <w:rsid w:val="001E6874"/>
    <w:rsid w:val="001E736B"/>
    <w:rsid w:val="001F1C5C"/>
    <w:rsid w:val="001F2A86"/>
    <w:rsid w:val="001F2E0F"/>
    <w:rsid w:val="001F33E5"/>
    <w:rsid w:val="001F4665"/>
    <w:rsid w:val="001F4985"/>
    <w:rsid w:val="001F4D11"/>
    <w:rsid w:val="001F54E6"/>
    <w:rsid w:val="001F5536"/>
    <w:rsid w:val="001F60F9"/>
    <w:rsid w:val="001F6833"/>
    <w:rsid w:val="001F6EB9"/>
    <w:rsid w:val="001F71EA"/>
    <w:rsid w:val="001F7248"/>
    <w:rsid w:val="001F7DA0"/>
    <w:rsid w:val="002001BB"/>
    <w:rsid w:val="00200B2A"/>
    <w:rsid w:val="002010C0"/>
    <w:rsid w:val="0020184B"/>
    <w:rsid w:val="00201FBF"/>
    <w:rsid w:val="0020278E"/>
    <w:rsid w:val="0020291F"/>
    <w:rsid w:val="0020380A"/>
    <w:rsid w:val="00204589"/>
    <w:rsid w:val="00205162"/>
    <w:rsid w:val="0020519C"/>
    <w:rsid w:val="002060B2"/>
    <w:rsid w:val="002063F4"/>
    <w:rsid w:val="00210C60"/>
    <w:rsid w:val="00211207"/>
    <w:rsid w:val="002114AF"/>
    <w:rsid w:val="002143D5"/>
    <w:rsid w:val="00214BB4"/>
    <w:rsid w:val="00214E5D"/>
    <w:rsid w:val="0021641A"/>
    <w:rsid w:val="00216557"/>
    <w:rsid w:val="002165E4"/>
    <w:rsid w:val="002169B1"/>
    <w:rsid w:val="00216B1B"/>
    <w:rsid w:val="002176BA"/>
    <w:rsid w:val="00220148"/>
    <w:rsid w:val="002220B5"/>
    <w:rsid w:val="00222784"/>
    <w:rsid w:val="00222A82"/>
    <w:rsid w:val="00224C1F"/>
    <w:rsid w:val="00224D17"/>
    <w:rsid w:val="0022598F"/>
    <w:rsid w:val="002260F3"/>
    <w:rsid w:val="0022724E"/>
    <w:rsid w:val="00227406"/>
    <w:rsid w:val="00227B86"/>
    <w:rsid w:val="00227D01"/>
    <w:rsid w:val="0023013D"/>
    <w:rsid w:val="00230150"/>
    <w:rsid w:val="002304CD"/>
    <w:rsid w:val="00230D9E"/>
    <w:rsid w:val="0023106D"/>
    <w:rsid w:val="00231D07"/>
    <w:rsid w:val="002322D8"/>
    <w:rsid w:val="00232BB0"/>
    <w:rsid w:val="00232C19"/>
    <w:rsid w:val="00232DAF"/>
    <w:rsid w:val="002337D3"/>
    <w:rsid w:val="002349E8"/>
    <w:rsid w:val="00234ABF"/>
    <w:rsid w:val="00235B33"/>
    <w:rsid w:val="002363D5"/>
    <w:rsid w:val="002371E2"/>
    <w:rsid w:val="002411AB"/>
    <w:rsid w:val="002414FA"/>
    <w:rsid w:val="00241ED4"/>
    <w:rsid w:val="00242774"/>
    <w:rsid w:val="0024423E"/>
    <w:rsid w:val="0024477B"/>
    <w:rsid w:val="002459A0"/>
    <w:rsid w:val="00245FBB"/>
    <w:rsid w:val="002465BA"/>
    <w:rsid w:val="0024697F"/>
    <w:rsid w:val="0024711A"/>
    <w:rsid w:val="002512EA"/>
    <w:rsid w:val="002515B3"/>
    <w:rsid w:val="00253B26"/>
    <w:rsid w:val="00254406"/>
    <w:rsid w:val="002547D4"/>
    <w:rsid w:val="00254C37"/>
    <w:rsid w:val="00254ECE"/>
    <w:rsid w:val="002554B6"/>
    <w:rsid w:val="00255889"/>
    <w:rsid w:val="00255D7B"/>
    <w:rsid w:val="00256B9E"/>
    <w:rsid w:val="00257145"/>
    <w:rsid w:val="0025755F"/>
    <w:rsid w:val="00257E40"/>
    <w:rsid w:val="00261C29"/>
    <w:rsid w:val="00262679"/>
    <w:rsid w:val="002657A9"/>
    <w:rsid w:val="00265A9F"/>
    <w:rsid w:val="00265F6E"/>
    <w:rsid w:val="00266B36"/>
    <w:rsid w:val="00267115"/>
    <w:rsid w:val="00267841"/>
    <w:rsid w:val="00267C7C"/>
    <w:rsid w:val="00270088"/>
    <w:rsid w:val="0027070D"/>
    <w:rsid w:val="00270CEB"/>
    <w:rsid w:val="00271E82"/>
    <w:rsid w:val="002721B4"/>
    <w:rsid w:val="0027263F"/>
    <w:rsid w:val="00272B04"/>
    <w:rsid w:val="00272D74"/>
    <w:rsid w:val="00272E5A"/>
    <w:rsid w:val="00272FDB"/>
    <w:rsid w:val="002738CD"/>
    <w:rsid w:val="0027423E"/>
    <w:rsid w:val="0027476A"/>
    <w:rsid w:val="00274D10"/>
    <w:rsid w:val="00276510"/>
    <w:rsid w:val="002767AE"/>
    <w:rsid w:val="00276F85"/>
    <w:rsid w:val="002803CC"/>
    <w:rsid w:val="00280642"/>
    <w:rsid w:val="00280A07"/>
    <w:rsid w:val="00280F7F"/>
    <w:rsid w:val="00281AD5"/>
    <w:rsid w:val="00282CE0"/>
    <w:rsid w:val="002840EE"/>
    <w:rsid w:val="00286518"/>
    <w:rsid w:val="0028685F"/>
    <w:rsid w:val="00287D8D"/>
    <w:rsid w:val="002917F9"/>
    <w:rsid w:val="00291D4B"/>
    <w:rsid w:val="00291DD8"/>
    <w:rsid w:val="00293217"/>
    <w:rsid w:val="00293D26"/>
    <w:rsid w:val="00293E15"/>
    <w:rsid w:val="00294B86"/>
    <w:rsid w:val="00296008"/>
    <w:rsid w:val="002972AC"/>
    <w:rsid w:val="00297572"/>
    <w:rsid w:val="00297E69"/>
    <w:rsid w:val="002A10ED"/>
    <w:rsid w:val="002A2364"/>
    <w:rsid w:val="002A2737"/>
    <w:rsid w:val="002A2860"/>
    <w:rsid w:val="002A2ECA"/>
    <w:rsid w:val="002A4691"/>
    <w:rsid w:val="002A4CF3"/>
    <w:rsid w:val="002A523E"/>
    <w:rsid w:val="002A5316"/>
    <w:rsid w:val="002A64EA"/>
    <w:rsid w:val="002A6ACF"/>
    <w:rsid w:val="002B0118"/>
    <w:rsid w:val="002B0489"/>
    <w:rsid w:val="002B0F72"/>
    <w:rsid w:val="002B16AC"/>
    <w:rsid w:val="002B17A5"/>
    <w:rsid w:val="002B18ED"/>
    <w:rsid w:val="002B1C36"/>
    <w:rsid w:val="002B1D6D"/>
    <w:rsid w:val="002B3922"/>
    <w:rsid w:val="002B600A"/>
    <w:rsid w:val="002B725B"/>
    <w:rsid w:val="002B7798"/>
    <w:rsid w:val="002C0003"/>
    <w:rsid w:val="002C04DE"/>
    <w:rsid w:val="002C0F3D"/>
    <w:rsid w:val="002C136A"/>
    <w:rsid w:val="002C2836"/>
    <w:rsid w:val="002C2D8C"/>
    <w:rsid w:val="002C2DAF"/>
    <w:rsid w:val="002C2F98"/>
    <w:rsid w:val="002C2FC9"/>
    <w:rsid w:val="002C45CC"/>
    <w:rsid w:val="002C501A"/>
    <w:rsid w:val="002C5361"/>
    <w:rsid w:val="002C6243"/>
    <w:rsid w:val="002C67B0"/>
    <w:rsid w:val="002C79A5"/>
    <w:rsid w:val="002D033A"/>
    <w:rsid w:val="002D0342"/>
    <w:rsid w:val="002D16E3"/>
    <w:rsid w:val="002D27CA"/>
    <w:rsid w:val="002D4531"/>
    <w:rsid w:val="002D45A3"/>
    <w:rsid w:val="002D47DE"/>
    <w:rsid w:val="002D4FE9"/>
    <w:rsid w:val="002D55B2"/>
    <w:rsid w:val="002D633F"/>
    <w:rsid w:val="002D6B47"/>
    <w:rsid w:val="002D6D5A"/>
    <w:rsid w:val="002E009D"/>
    <w:rsid w:val="002E1189"/>
    <w:rsid w:val="002E16D9"/>
    <w:rsid w:val="002E1A34"/>
    <w:rsid w:val="002E2D23"/>
    <w:rsid w:val="002E361B"/>
    <w:rsid w:val="002E535B"/>
    <w:rsid w:val="002E5573"/>
    <w:rsid w:val="002E5878"/>
    <w:rsid w:val="002E5D92"/>
    <w:rsid w:val="002E67A6"/>
    <w:rsid w:val="002E703B"/>
    <w:rsid w:val="002E73E1"/>
    <w:rsid w:val="002F03F4"/>
    <w:rsid w:val="002F0B86"/>
    <w:rsid w:val="002F13D4"/>
    <w:rsid w:val="002F18B8"/>
    <w:rsid w:val="002F2D59"/>
    <w:rsid w:val="002F4CD0"/>
    <w:rsid w:val="002F54CF"/>
    <w:rsid w:val="002F5F9A"/>
    <w:rsid w:val="002F718A"/>
    <w:rsid w:val="002F718E"/>
    <w:rsid w:val="002F7CA0"/>
    <w:rsid w:val="003023DB"/>
    <w:rsid w:val="00302B09"/>
    <w:rsid w:val="00303A88"/>
    <w:rsid w:val="00304479"/>
    <w:rsid w:val="0030577A"/>
    <w:rsid w:val="0031078A"/>
    <w:rsid w:val="0031092B"/>
    <w:rsid w:val="00313DA3"/>
    <w:rsid w:val="00314840"/>
    <w:rsid w:val="00315550"/>
    <w:rsid w:val="00316ABA"/>
    <w:rsid w:val="00320065"/>
    <w:rsid w:val="00321178"/>
    <w:rsid w:val="0032223A"/>
    <w:rsid w:val="00322675"/>
    <w:rsid w:val="003227C6"/>
    <w:rsid w:val="00323342"/>
    <w:rsid w:val="00323E6F"/>
    <w:rsid w:val="00324220"/>
    <w:rsid w:val="00324F67"/>
    <w:rsid w:val="00325E00"/>
    <w:rsid w:val="0032671F"/>
    <w:rsid w:val="003270FC"/>
    <w:rsid w:val="003276F4"/>
    <w:rsid w:val="0033018B"/>
    <w:rsid w:val="003305EA"/>
    <w:rsid w:val="003309FF"/>
    <w:rsid w:val="00332A7A"/>
    <w:rsid w:val="0033307A"/>
    <w:rsid w:val="00333C6A"/>
    <w:rsid w:val="00333E88"/>
    <w:rsid w:val="00335CA8"/>
    <w:rsid w:val="0033611A"/>
    <w:rsid w:val="00336C1B"/>
    <w:rsid w:val="00336F92"/>
    <w:rsid w:val="0033756B"/>
    <w:rsid w:val="00337CF9"/>
    <w:rsid w:val="00340745"/>
    <w:rsid w:val="00340C62"/>
    <w:rsid w:val="00342F48"/>
    <w:rsid w:val="0034583A"/>
    <w:rsid w:val="003458A2"/>
    <w:rsid w:val="003461F4"/>
    <w:rsid w:val="00350821"/>
    <w:rsid w:val="0035161E"/>
    <w:rsid w:val="00355227"/>
    <w:rsid w:val="00355E56"/>
    <w:rsid w:val="00360BDA"/>
    <w:rsid w:val="00363028"/>
    <w:rsid w:val="0036341B"/>
    <w:rsid w:val="003634D4"/>
    <w:rsid w:val="003635A0"/>
    <w:rsid w:val="0036385E"/>
    <w:rsid w:val="003644D7"/>
    <w:rsid w:val="003646C2"/>
    <w:rsid w:val="0036520A"/>
    <w:rsid w:val="00365B26"/>
    <w:rsid w:val="00366339"/>
    <w:rsid w:val="00366C6A"/>
    <w:rsid w:val="00367C1B"/>
    <w:rsid w:val="00370487"/>
    <w:rsid w:val="00370DAE"/>
    <w:rsid w:val="00371BA2"/>
    <w:rsid w:val="00371E6A"/>
    <w:rsid w:val="00374059"/>
    <w:rsid w:val="00374233"/>
    <w:rsid w:val="00374597"/>
    <w:rsid w:val="0037596D"/>
    <w:rsid w:val="0037631D"/>
    <w:rsid w:val="00377EA9"/>
    <w:rsid w:val="003801E4"/>
    <w:rsid w:val="00381248"/>
    <w:rsid w:val="003815CC"/>
    <w:rsid w:val="003816A6"/>
    <w:rsid w:val="00383B7C"/>
    <w:rsid w:val="00384F7E"/>
    <w:rsid w:val="003855DF"/>
    <w:rsid w:val="00386AB0"/>
    <w:rsid w:val="00387DF0"/>
    <w:rsid w:val="00391CA1"/>
    <w:rsid w:val="00391FB4"/>
    <w:rsid w:val="003925F0"/>
    <w:rsid w:val="00392866"/>
    <w:rsid w:val="00392AAE"/>
    <w:rsid w:val="00392D0C"/>
    <w:rsid w:val="003937C5"/>
    <w:rsid w:val="00393BD5"/>
    <w:rsid w:val="00394A7B"/>
    <w:rsid w:val="00394D4B"/>
    <w:rsid w:val="0039514D"/>
    <w:rsid w:val="00395D05"/>
    <w:rsid w:val="00397368"/>
    <w:rsid w:val="003979E1"/>
    <w:rsid w:val="00397E8F"/>
    <w:rsid w:val="003A0E67"/>
    <w:rsid w:val="003A1759"/>
    <w:rsid w:val="003A1FAE"/>
    <w:rsid w:val="003A26CD"/>
    <w:rsid w:val="003A28D5"/>
    <w:rsid w:val="003A28E4"/>
    <w:rsid w:val="003A44B2"/>
    <w:rsid w:val="003A4C12"/>
    <w:rsid w:val="003A5305"/>
    <w:rsid w:val="003A6097"/>
    <w:rsid w:val="003A6306"/>
    <w:rsid w:val="003A72C1"/>
    <w:rsid w:val="003A7492"/>
    <w:rsid w:val="003B0469"/>
    <w:rsid w:val="003B072F"/>
    <w:rsid w:val="003B0B50"/>
    <w:rsid w:val="003B0F3B"/>
    <w:rsid w:val="003B11DB"/>
    <w:rsid w:val="003B25C2"/>
    <w:rsid w:val="003B2CE0"/>
    <w:rsid w:val="003B3F3B"/>
    <w:rsid w:val="003B4AFA"/>
    <w:rsid w:val="003B5BE5"/>
    <w:rsid w:val="003B6215"/>
    <w:rsid w:val="003B6C75"/>
    <w:rsid w:val="003B78EA"/>
    <w:rsid w:val="003B7995"/>
    <w:rsid w:val="003C293C"/>
    <w:rsid w:val="003C3E8C"/>
    <w:rsid w:val="003D0103"/>
    <w:rsid w:val="003D0168"/>
    <w:rsid w:val="003D0956"/>
    <w:rsid w:val="003D1B47"/>
    <w:rsid w:val="003D35F2"/>
    <w:rsid w:val="003D5742"/>
    <w:rsid w:val="003D64A0"/>
    <w:rsid w:val="003E0133"/>
    <w:rsid w:val="003E0F14"/>
    <w:rsid w:val="003E1865"/>
    <w:rsid w:val="003E35D7"/>
    <w:rsid w:val="003E408A"/>
    <w:rsid w:val="003E50D2"/>
    <w:rsid w:val="003E7151"/>
    <w:rsid w:val="003E7EA7"/>
    <w:rsid w:val="003F025B"/>
    <w:rsid w:val="003F0666"/>
    <w:rsid w:val="003F0DE6"/>
    <w:rsid w:val="003F1380"/>
    <w:rsid w:val="003F285D"/>
    <w:rsid w:val="003F2885"/>
    <w:rsid w:val="003F37D2"/>
    <w:rsid w:val="003F3B20"/>
    <w:rsid w:val="003F4572"/>
    <w:rsid w:val="003F61A2"/>
    <w:rsid w:val="003F620F"/>
    <w:rsid w:val="003F69A8"/>
    <w:rsid w:val="004024B8"/>
    <w:rsid w:val="004028FE"/>
    <w:rsid w:val="0040298F"/>
    <w:rsid w:val="004043FB"/>
    <w:rsid w:val="00404629"/>
    <w:rsid w:val="00405D40"/>
    <w:rsid w:val="00405E5F"/>
    <w:rsid w:val="00406452"/>
    <w:rsid w:val="00406566"/>
    <w:rsid w:val="004077CF"/>
    <w:rsid w:val="00407B1D"/>
    <w:rsid w:val="004102FC"/>
    <w:rsid w:val="0041057B"/>
    <w:rsid w:val="004120E4"/>
    <w:rsid w:val="00412112"/>
    <w:rsid w:val="00412F5C"/>
    <w:rsid w:val="0041306B"/>
    <w:rsid w:val="00413CC3"/>
    <w:rsid w:val="004146BB"/>
    <w:rsid w:val="004146D7"/>
    <w:rsid w:val="00415695"/>
    <w:rsid w:val="00416008"/>
    <w:rsid w:val="0041663C"/>
    <w:rsid w:val="004176ED"/>
    <w:rsid w:val="00417D90"/>
    <w:rsid w:val="004207E5"/>
    <w:rsid w:val="00422EDE"/>
    <w:rsid w:val="00423432"/>
    <w:rsid w:val="0043006B"/>
    <w:rsid w:val="0043047C"/>
    <w:rsid w:val="0043073A"/>
    <w:rsid w:val="00431306"/>
    <w:rsid w:val="00431B28"/>
    <w:rsid w:val="004324EC"/>
    <w:rsid w:val="004325CA"/>
    <w:rsid w:val="004328A6"/>
    <w:rsid w:val="0043319F"/>
    <w:rsid w:val="00433720"/>
    <w:rsid w:val="00434FE2"/>
    <w:rsid w:val="0043581C"/>
    <w:rsid w:val="0043624A"/>
    <w:rsid w:val="0044178B"/>
    <w:rsid w:val="00441A37"/>
    <w:rsid w:val="00442B67"/>
    <w:rsid w:val="00442D2A"/>
    <w:rsid w:val="00442DF2"/>
    <w:rsid w:val="00443A94"/>
    <w:rsid w:val="00444C5E"/>
    <w:rsid w:val="00446321"/>
    <w:rsid w:val="004479CC"/>
    <w:rsid w:val="00450BA3"/>
    <w:rsid w:val="00450C24"/>
    <w:rsid w:val="00451015"/>
    <w:rsid w:val="00451B23"/>
    <w:rsid w:val="0045267A"/>
    <w:rsid w:val="00452B72"/>
    <w:rsid w:val="00452E4C"/>
    <w:rsid w:val="00453458"/>
    <w:rsid w:val="004534A7"/>
    <w:rsid w:val="0045400D"/>
    <w:rsid w:val="00454AB4"/>
    <w:rsid w:val="004551E5"/>
    <w:rsid w:val="0045595F"/>
    <w:rsid w:val="00455DE8"/>
    <w:rsid w:val="00456458"/>
    <w:rsid w:val="00456766"/>
    <w:rsid w:val="004603A9"/>
    <w:rsid w:val="00460F1A"/>
    <w:rsid w:val="0046151B"/>
    <w:rsid w:val="00462284"/>
    <w:rsid w:val="00462910"/>
    <w:rsid w:val="0046364E"/>
    <w:rsid w:val="00463711"/>
    <w:rsid w:val="00464041"/>
    <w:rsid w:val="00465578"/>
    <w:rsid w:val="00466539"/>
    <w:rsid w:val="00471044"/>
    <w:rsid w:val="00471968"/>
    <w:rsid w:val="00472CBB"/>
    <w:rsid w:val="004741F2"/>
    <w:rsid w:val="0047492C"/>
    <w:rsid w:val="004754AF"/>
    <w:rsid w:val="004754B7"/>
    <w:rsid w:val="00475918"/>
    <w:rsid w:val="00475CA1"/>
    <w:rsid w:val="00476EBE"/>
    <w:rsid w:val="00476FBA"/>
    <w:rsid w:val="004804CD"/>
    <w:rsid w:val="004812B1"/>
    <w:rsid w:val="00482219"/>
    <w:rsid w:val="00483CBB"/>
    <w:rsid w:val="00483E3F"/>
    <w:rsid w:val="00484654"/>
    <w:rsid w:val="004848FB"/>
    <w:rsid w:val="00485301"/>
    <w:rsid w:val="00485354"/>
    <w:rsid w:val="00485CA7"/>
    <w:rsid w:val="0048763D"/>
    <w:rsid w:val="004878DC"/>
    <w:rsid w:val="004905F9"/>
    <w:rsid w:val="00491702"/>
    <w:rsid w:val="00491F35"/>
    <w:rsid w:val="00492886"/>
    <w:rsid w:val="00492FC5"/>
    <w:rsid w:val="004941E7"/>
    <w:rsid w:val="00495705"/>
    <w:rsid w:val="00495A8B"/>
    <w:rsid w:val="00495D20"/>
    <w:rsid w:val="0049603E"/>
    <w:rsid w:val="004965A1"/>
    <w:rsid w:val="00496CE6"/>
    <w:rsid w:val="00497BB1"/>
    <w:rsid w:val="004A040A"/>
    <w:rsid w:val="004A0DAF"/>
    <w:rsid w:val="004A0F44"/>
    <w:rsid w:val="004A1494"/>
    <w:rsid w:val="004A2EF1"/>
    <w:rsid w:val="004A3204"/>
    <w:rsid w:val="004A45DA"/>
    <w:rsid w:val="004A4D5F"/>
    <w:rsid w:val="004A51FA"/>
    <w:rsid w:val="004A641D"/>
    <w:rsid w:val="004A68D9"/>
    <w:rsid w:val="004A6DC8"/>
    <w:rsid w:val="004B003A"/>
    <w:rsid w:val="004B1960"/>
    <w:rsid w:val="004B2128"/>
    <w:rsid w:val="004B3C03"/>
    <w:rsid w:val="004B3E85"/>
    <w:rsid w:val="004B41EF"/>
    <w:rsid w:val="004B4F13"/>
    <w:rsid w:val="004B5648"/>
    <w:rsid w:val="004B595D"/>
    <w:rsid w:val="004B5F92"/>
    <w:rsid w:val="004B7E50"/>
    <w:rsid w:val="004C0115"/>
    <w:rsid w:val="004C0E9A"/>
    <w:rsid w:val="004C2A7E"/>
    <w:rsid w:val="004C2E21"/>
    <w:rsid w:val="004C3C9D"/>
    <w:rsid w:val="004C429F"/>
    <w:rsid w:val="004C4A0D"/>
    <w:rsid w:val="004C6355"/>
    <w:rsid w:val="004C6BF8"/>
    <w:rsid w:val="004C6D3C"/>
    <w:rsid w:val="004C7989"/>
    <w:rsid w:val="004C7EB2"/>
    <w:rsid w:val="004D03AC"/>
    <w:rsid w:val="004D3C19"/>
    <w:rsid w:val="004D40AA"/>
    <w:rsid w:val="004D4C65"/>
    <w:rsid w:val="004D5746"/>
    <w:rsid w:val="004D7ADD"/>
    <w:rsid w:val="004E1319"/>
    <w:rsid w:val="004E1C91"/>
    <w:rsid w:val="004E44EF"/>
    <w:rsid w:val="004E477F"/>
    <w:rsid w:val="004E4C0A"/>
    <w:rsid w:val="004E5A80"/>
    <w:rsid w:val="004E5E91"/>
    <w:rsid w:val="004E62AD"/>
    <w:rsid w:val="004F03BB"/>
    <w:rsid w:val="004F08DD"/>
    <w:rsid w:val="004F0E68"/>
    <w:rsid w:val="004F1A0B"/>
    <w:rsid w:val="004F1EA9"/>
    <w:rsid w:val="004F2120"/>
    <w:rsid w:val="004F4594"/>
    <w:rsid w:val="004F5DE5"/>
    <w:rsid w:val="0050058C"/>
    <w:rsid w:val="005005AF"/>
    <w:rsid w:val="0050063A"/>
    <w:rsid w:val="005013F7"/>
    <w:rsid w:val="00501890"/>
    <w:rsid w:val="0050243E"/>
    <w:rsid w:val="00503189"/>
    <w:rsid w:val="00503956"/>
    <w:rsid w:val="0050508E"/>
    <w:rsid w:val="00505887"/>
    <w:rsid w:val="00505C4C"/>
    <w:rsid w:val="00507129"/>
    <w:rsid w:val="005108AB"/>
    <w:rsid w:val="005109AB"/>
    <w:rsid w:val="00511021"/>
    <w:rsid w:val="00511C35"/>
    <w:rsid w:val="00512183"/>
    <w:rsid w:val="00512221"/>
    <w:rsid w:val="0051258D"/>
    <w:rsid w:val="00512CEC"/>
    <w:rsid w:val="0051316A"/>
    <w:rsid w:val="0051374B"/>
    <w:rsid w:val="00514C3B"/>
    <w:rsid w:val="005151F6"/>
    <w:rsid w:val="00515E9B"/>
    <w:rsid w:val="0051615D"/>
    <w:rsid w:val="0051616E"/>
    <w:rsid w:val="00516D15"/>
    <w:rsid w:val="00517754"/>
    <w:rsid w:val="005178D0"/>
    <w:rsid w:val="00517BCE"/>
    <w:rsid w:val="00517EEA"/>
    <w:rsid w:val="00520DD1"/>
    <w:rsid w:val="005211FD"/>
    <w:rsid w:val="005222D8"/>
    <w:rsid w:val="00522A3F"/>
    <w:rsid w:val="00524A06"/>
    <w:rsid w:val="00525C42"/>
    <w:rsid w:val="005268F7"/>
    <w:rsid w:val="00526F6B"/>
    <w:rsid w:val="0053052F"/>
    <w:rsid w:val="00530885"/>
    <w:rsid w:val="00530F13"/>
    <w:rsid w:val="0053160F"/>
    <w:rsid w:val="005321DC"/>
    <w:rsid w:val="00532CDD"/>
    <w:rsid w:val="005341FD"/>
    <w:rsid w:val="005353D1"/>
    <w:rsid w:val="00536881"/>
    <w:rsid w:val="005372C4"/>
    <w:rsid w:val="005378F2"/>
    <w:rsid w:val="00540FAD"/>
    <w:rsid w:val="005417C3"/>
    <w:rsid w:val="00541DDE"/>
    <w:rsid w:val="005424CC"/>
    <w:rsid w:val="00543101"/>
    <w:rsid w:val="00544B9F"/>
    <w:rsid w:val="005471EF"/>
    <w:rsid w:val="00547222"/>
    <w:rsid w:val="00547A0F"/>
    <w:rsid w:val="005509C6"/>
    <w:rsid w:val="005510DD"/>
    <w:rsid w:val="005540AF"/>
    <w:rsid w:val="00554DBA"/>
    <w:rsid w:val="00556534"/>
    <w:rsid w:val="00556C6A"/>
    <w:rsid w:val="00561FDD"/>
    <w:rsid w:val="005629CA"/>
    <w:rsid w:val="00562FBA"/>
    <w:rsid w:val="00563A33"/>
    <w:rsid w:val="00565C25"/>
    <w:rsid w:val="00572D85"/>
    <w:rsid w:val="00573020"/>
    <w:rsid w:val="005736DA"/>
    <w:rsid w:val="00575B55"/>
    <w:rsid w:val="0057618F"/>
    <w:rsid w:val="0057672D"/>
    <w:rsid w:val="0057782B"/>
    <w:rsid w:val="005804B6"/>
    <w:rsid w:val="00580521"/>
    <w:rsid w:val="00580F84"/>
    <w:rsid w:val="00583B1F"/>
    <w:rsid w:val="00584318"/>
    <w:rsid w:val="00585312"/>
    <w:rsid w:val="00587321"/>
    <w:rsid w:val="00587A66"/>
    <w:rsid w:val="005900AC"/>
    <w:rsid w:val="00592A11"/>
    <w:rsid w:val="00592BC6"/>
    <w:rsid w:val="005931D5"/>
    <w:rsid w:val="00594054"/>
    <w:rsid w:val="0059423B"/>
    <w:rsid w:val="00594B7D"/>
    <w:rsid w:val="00594FAB"/>
    <w:rsid w:val="00595971"/>
    <w:rsid w:val="00596B60"/>
    <w:rsid w:val="0059729B"/>
    <w:rsid w:val="00597E72"/>
    <w:rsid w:val="005A0FD3"/>
    <w:rsid w:val="005A18CB"/>
    <w:rsid w:val="005A1A70"/>
    <w:rsid w:val="005A2B84"/>
    <w:rsid w:val="005A3110"/>
    <w:rsid w:val="005A339B"/>
    <w:rsid w:val="005A3552"/>
    <w:rsid w:val="005A3571"/>
    <w:rsid w:val="005A3D66"/>
    <w:rsid w:val="005A5535"/>
    <w:rsid w:val="005B075A"/>
    <w:rsid w:val="005B4050"/>
    <w:rsid w:val="005B41B4"/>
    <w:rsid w:val="005B694A"/>
    <w:rsid w:val="005C0A05"/>
    <w:rsid w:val="005C181B"/>
    <w:rsid w:val="005C2635"/>
    <w:rsid w:val="005C2EE1"/>
    <w:rsid w:val="005C3027"/>
    <w:rsid w:val="005C3815"/>
    <w:rsid w:val="005C3C35"/>
    <w:rsid w:val="005C4292"/>
    <w:rsid w:val="005C4F88"/>
    <w:rsid w:val="005C654D"/>
    <w:rsid w:val="005C6A63"/>
    <w:rsid w:val="005C782E"/>
    <w:rsid w:val="005C786E"/>
    <w:rsid w:val="005D09A5"/>
    <w:rsid w:val="005D21DC"/>
    <w:rsid w:val="005D24D8"/>
    <w:rsid w:val="005D2510"/>
    <w:rsid w:val="005D26EA"/>
    <w:rsid w:val="005D2B56"/>
    <w:rsid w:val="005D3824"/>
    <w:rsid w:val="005D386D"/>
    <w:rsid w:val="005D63FB"/>
    <w:rsid w:val="005D759B"/>
    <w:rsid w:val="005E0293"/>
    <w:rsid w:val="005E1ABF"/>
    <w:rsid w:val="005E2059"/>
    <w:rsid w:val="005E3012"/>
    <w:rsid w:val="005E3FF5"/>
    <w:rsid w:val="005E450D"/>
    <w:rsid w:val="005E5125"/>
    <w:rsid w:val="005E55BD"/>
    <w:rsid w:val="005E5D8D"/>
    <w:rsid w:val="005F0D80"/>
    <w:rsid w:val="005F167E"/>
    <w:rsid w:val="005F27E3"/>
    <w:rsid w:val="005F28AE"/>
    <w:rsid w:val="005F3CBD"/>
    <w:rsid w:val="005F685A"/>
    <w:rsid w:val="005F7705"/>
    <w:rsid w:val="0060155C"/>
    <w:rsid w:val="00601DAB"/>
    <w:rsid w:val="0060234C"/>
    <w:rsid w:val="006026E2"/>
    <w:rsid w:val="00602E49"/>
    <w:rsid w:val="00603EAA"/>
    <w:rsid w:val="006043A9"/>
    <w:rsid w:val="0060462B"/>
    <w:rsid w:val="0060555E"/>
    <w:rsid w:val="006057F9"/>
    <w:rsid w:val="00606319"/>
    <w:rsid w:val="00607523"/>
    <w:rsid w:val="00610F90"/>
    <w:rsid w:val="00611EED"/>
    <w:rsid w:val="0061261C"/>
    <w:rsid w:val="006126D9"/>
    <w:rsid w:val="00613396"/>
    <w:rsid w:val="00615E84"/>
    <w:rsid w:val="00616CFE"/>
    <w:rsid w:val="00617CB1"/>
    <w:rsid w:val="00621508"/>
    <w:rsid w:val="00622CED"/>
    <w:rsid w:val="00624A48"/>
    <w:rsid w:val="0062553C"/>
    <w:rsid w:val="00625AF9"/>
    <w:rsid w:val="00625D24"/>
    <w:rsid w:val="00626EE9"/>
    <w:rsid w:val="00627200"/>
    <w:rsid w:val="0062748B"/>
    <w:rsid w:val="0063060A"/>
    <w:rsid w:val="00631132"/>
    <w:rsid w:val="00631246"/>
    <w:rsid w:val="00636AFE"/>
    <w:rsid w:val="006372F0"/>
    <w:rsid w:val="00637729"/>
    <w:rsid w:val="00637EF5"/>
    <w:rsid w:val="00637FF3"/>
    <w:rsid w:val="006403EF"/>
    <w:rsid w:val="006413A2"/>
    <w:rsid w:val="006414A8"/>
    <w:rsid w:val="006426C6"/>
    <w:rsid w:val="00642E84"/>
    <w:rsid w:val="006432DE"/>
    <w:rsid w:val="0064570A"/>
    <w:rsid w:val="00645E3F"/>
    <w:rsid w:val="00647A3D"/>
    <w:rsid w:val="00647B61"/>
    <w:rsid w:val="0065029A"/>
    <w:rsid w:val="006507F0"/>
    <w:rsid w:val="00650BB7"/>
    <w:rsid w:val="006516E5"/>
    <w:rsid w:val="00652258"/>
    <w:rsid w:val="00652FA2"/>
    <w:rsid w:val="00653420"/>
    <w:rsid w:val="00654516"/>
    <w:rsid w:val="00655C98"/>
    <w:rsid w:val="00656A68"/>
    <w:rsid w:val="00656A9B"/>
    <w:rsid w:val="00656D0D"/>
    <w:rsid w:val="00657203"/>
    <w:rsid w:val="00657BD3"/>
    <w:rsid w:val="006616EF"/>
    <w:rsid w:val="00661743"/>
    <w:rsid w:val="00661B27"/>
    <w:rsid w:val="00661C61"/>
    <w:rsid w:val="00662440"/>
    <w:rsid w:val="006648DE"/>
    <w:rsid w:val="00664F22"/>
    <w:rsid w:val="00666113"/>
    <w:rsid w:val="00666EFE"/>
    <w:rsid w:val="006671E9"/>
    <w:rsid w:val="006717E1"/>
    <w:rsid w:val="006724E6"/>
    <w:rsid w:val="0067508B"/>
    <w:rsid w:val="006756E0"/>
    <w:rsid w:val="00675A8D"/>
    <w:rsid w:val="00675E12"/>
    <w:rsid w:val="006760E3"/>
    <w:rsid w:val="006761C2"/>
    <w:rsid w:val="00677DEE"/>
    <w:rsid w:val="0068221F"/>
    <w:rsid w:val="00682A12"/>
    <w:rsid w:val="00684407"/>
    <w:rsid w:val="006860F0"/>
    <w:rsid w:val="00687722"/>
    <w:rsid w:val="00690A2B"/>
    <w:rsid w:val="00690C8A"/>
    <w:rsid w:val="00691ADB"/>
    <w:rsid w:val="00692865"/>
    <w:rsid w:val="006946EE"/>
    <w:rsid w:val="0069470C"/>
    <w:rsid w:val="00695058"/>
    <w:rsid w:val="00696DFE"/>
    <w:rsid w:val="006974B3"/>
    <w:rsid w:val="006A06AF"/>
    <w:rsid w:val="006A081D"/>
    <w:rsid w:val="006A0AF9"/>
    <w:rsid w:val="006A241B"/>
    <w:rsid w:val="006A29F5"/>
    <w:rsid w:val="006A352A"/>
    <w:rsid w:val="006A3BA8"/>
    <w:rsid w:val="006A4334"/>
    <w:rsid w:val="006A459C"/>
    <w:rsid w:val="006A4937"/>
    <w:rsid w:val="006A7158"/>
    <w:rsid w:val="006A7B1E"/>
    <w:rsid w:val="006A7D86"/>
    <w:rsid w:val="006A7EE1"/>
    <w:rsid w:val="006B04B1"/>
    <w:rsid w:val="006B1985"/>
    <w:rsid w:val="006B19F3"/>
    <w:rsid w:val="006B1F3D"/>
    <w:rsid w:val="006B2290"/>
    <w:rsid w:val="006B2689"/>
    <w:rsid w:val="006B2A73"/>
    <w:rsid w:val="006B2F7C"/>
    <w:rsid w:val="006B3447"/>
    <w:rsid w:val="006B352E"/>
    <w:rsid w:val="006B422A"/>
    <w:rsid w:val="006B5C89"/>
    <w:rsid w:val="006B5D25"/>
    <w:rsid w:val="006B6254"/>
    <w:rsid w:val="006B69B3"/>
    <w:rsid w:val="006B7F36"/>
    <w:rsid w:val="006C0292"/>
    <w:rsid w:val="006C053F"/>
    <w:rsid w:val="006C0EF1"/>
    <w:rsid w:val="006C1DC5"/>
    <w:rsid w:val="006C238B"/>
    <w:rsid w:val="006C2EFA"/>
    <w:rsid w:val="006C56E0"/>
    <w:rsid w:val="006C5A4B"/>
    <w:rsid w:val="006C5C40"/>
    <w:rsid w:val="006C6688"/>
    <w:rsid w:val="006C7726"/>
    <w:rsid w:val="006C7E46"/>
    <w:rsid w:val="006D0A69"/>
    <w:rsid w:val="006D43F2"/>
    <w:rsid w:val="006D52BA"/>
    <w:rsid w:val="006D69F9"/>
    <w:rsid w:val="006D6D02"/>
    <w:rsid w:val="006D714A"/>
    <w:rsid w:val="006D75F4"/>
    <w:rsid w:val="006D7E44"/>
    <w:rsid w:val="006E1344"/>
    <w:rsid w:val="006E138A"/>
    <w:rsid w:val="006E1692"/>
    <w:rsid w:val="006E22AC"/>
    <w:rsid w:val="006E2345"/>
    <w:rsid w:val="006E2382"/>
    <w:rsid w:val="006E24CA"/>
    <w:rsid w:val="006E3C7B"/>
    <w:rsid w:val="006E5970"/>
    <w:rsid w:val="006E5E64"/>
    <w:rsid w:val="006E7D66"/>
    <w:rsid w:val="006F0658"/>
    <w:rsid w:val="006F0DCD"/>
    <w:rsid w:val="006F11BE"/>
    <w:rsid w:val="006F35AB"/>
    <w:rsid w:val="006F35CA"/>
    <w:rsid w:val="006F3A99"/>
    <w:rsid w:val="006F3CCD"/>
    <w:rsid w:val="006F4604"/>
    <w:rsid w:val="006F6825"/>
    <w:rsid w:val="007005D9"/>
    <w:rsid w:val="00700D6E"/>
    <w:rsid w:val="00700EFD"/>
    <w:rsid w:val="00700F89"/>
    <w:rsid w:val="007010A8"/>
    <w:rsid w:val="007012E8"/>
    <w:rsid w:val="00702268"/>
    <w:rsid w:val="007034A7"/>
    <w:rsid w:val="00703F62"/>
    <w:rsid w:val="00706B31"/>
    <w:rsid w:val="007071B1"/>
    <w:rsid w:val="007121C3"/>
    <w:rsid w:val="007132BF"/>
    <w:rsid w:val="00715EC2"/>
    <w:rsid w:val="007169E6"/>
    <w:rsid w:val="00720378"/>
    <w:rsid w:val="00721003"/>
    <w:rsid w:val="007212B3"/>
    <w:rsid w:val="00722419"/>
    <w:rsid w:val="00722DB6"/>
    <w:rsid w:val="00723B0C"/>
    <w:rsid w:val="00724A74"/>
    <w:rsid w:val="00724ABB"/>
    <w:rsid w:val="00724B94"/>
    <w:rsid w:val="00725CDE"/>
    <w:rsid w:val="00726816"/>
    <w:rsid w:val="00726E12"/>
    <w:rsid w:val="0072757B"/>
    <w:rsid w:val="0073129B"/>
    <w:rsid w:val="0073243B"/>
    <w:rsid w:val="007329F1"/>
    <w:rsid w:val="0073462A"/>
    <w:rsid w:val="00735435"/>
    <w:rsid w:val="00735AEE"/>
    <w:rsid w:val="00735CD2"/>
    <w:rsid w:val="0073669A"/>
    <w:rsid w:val="00740C24"/>
    <w:rsid w:val="0074118A"/>
    <w:rsid w:val="007420A0"/>
    <w:rsid w:val="0074222E"/>
    <w:rsid w:val="00742F38"/>
    <w:rsid w:val="00743195"/>
    <w:rsid w:val="0074396C"/>
    <w:rsid w:val="00743984"/>
    <w:rsid w:val="00743CBB"/>
    <w:rsid w:val="00743ED7"/>
    <w:rsid w:val="007447A6"/>
    <w:rsid w:val="007449AF"/>
    <w:rsid w:val="00744A64"/>
    <w:rsid w:val="0074501D"/>
    <w:rsid w:val="00746982"/>
    <w:rsid w:val="00750907"/>
    <w:rsid w:val="00750975"/>
    <w:rsid w:val="00751027"/>
    <w:rsid w:val="007511C3"/>
    <w:rsid w:val="00751D35"/>
    <w:rsid w:val="00751DC5"/>
    <w:rsid w:val="0075334B"/>
    <w:rsid w:val="0075361B"/>
    <w:rsid w:val="00753A41"/>
    <w:rsid w:val="00755323"/>
    <w:rsid w:val="007558CF"/>
    <w:rsid w:val="00756302"/>
    <w:rsid w:val="007564E2"/>
    <w:rsid w:val="00761510"/>
    <w:rsid w:val="0076196E"/>
    <w:rsid w:val="00761D27"/>
    <w:rsid w:val="007622F4"/>
    <w:rsid w:val="007637A8"/>
    <w:rsid w:val="00763C22"/>
    <w:rsid w:val="00765BF3"/>
    <w:rsid w:val="0076654F"/>
    <w:rsid w:val="00770694"/>
    <w:rsid w:val="00770B86"/>
    <w:rsid w:val="00772B47"/>
    <w:rsid w:val="00772FB7"/>
    <w:rsid w:val="0077302B"/>
    <w:rsid w:val="007750AD"/>
    <w:rsid w:val="00775CAB"/>
    <w:rsid w:val="0077671B"/>
    <w:rsid w:val="007802B1"/>
    <w:rsid w:val="0078034A"/>
    <w:rsid w:val="007805DC"/>
    <w:rsid w:val="00780CFF"/>
    <w:rsid w:val="0078201F"/>
    <w:rsid w:val="00782556"/>
    <w:rsid w:val="00784A84"/>
    <w:rsid w:val="00785B04"/>
    <w:rsid w:val="00785F02"/>
    <w:rsid w:val="00791566"/>
    <w:rsid w:val="00793B82"/>
    <w:rsid w:val="00793E7E"/>
    <w:rsid w:val="007947C3"/>
    <w:rsid w:val="007957FD"/>
    <w:rsid w:val="00796525"/>
    <w:rsid w:val="00796894"/>
    <w:rsid w:val="00797181"/>
    <w:rsid w:val="007A07E7"/>
    <w:rsid w:val="007A0A0B"/>
    <w:rsid w:val="007A221A"/>
    <w:rsid w:val="007A2427"/>
    <w:rsid w:val="007A3140"/>
    <w:rsid w:val="007A37E9"/>
    <w:rsid w:val="007A4661"/>
    <w:rsid w:val="007A49DC"/>
    <w:rsid w:val="007A5A88"/>
    <w:rsid w:val="007A5D4C"/>
    <w:rsid w:val="007A68E3"/>
    <w:rsid w:val="007B02B6"/>
    <w:rsid w:val="007B060A"/>
    <w:rsid w:val="007B0883"/>
    <w:rsid w:val="007B0AC6"/>
    <w:rsid w:val="007B0EC8"/>
    <w:rsid w:val="007B1DDC"/>
    <w:rsid w:val="007B1E0A"/>
    <w:rsid w:val="007B21F2"/>
    <w:rsid w:val="007B23A5"/>
    <w:rsid w:val="007B3B62"/>
    <w:rsid w:val="007B4F9A"/>
    <w:rsid w:val="007B64E7"/>
    <w:rsid w:val="007B65A9"/>
    <w:rsid w:val="007B7CF0"/>
    <w:rsid w:val="007C01C2"/>
    <w:rsid w:val="007C31F9"/>
    <w:rsid w:val="007C4775"/>
    <w:rsid w:val="007C5B67"/>
    <w:rsid w:val="007D271B"/>
    <w:rsid w:val="007D27B1"/>
    <w:rsid w:val="007D2B8B"/>
    <w:rsid w:val="007D37B9"/>
    <w:rsid w:val="007D3A33"/>
    <w:rsid w:val="007D3CFA"/>
    <w:rsid w:val="007D5A26"/>
    <w:rsid w:val="007D62F2"/>
    <w:rsid w:val="007D6C3C"/>
    <w:rsid w:val="007D7AAF"/>
    <w:rsid w:val="007D7BE9"/>
    <w:rsid w:val="007E040C"/>
    <w:rsid w:val="007E082D"/>
    <w:rsid w:val="007E1E28"/>
    <w:rsid w:val="007E3DA3"/>
    <w:rsid w:val="007E3F96"/>
    <w:rsid w:val="007E4CCF"/>
    <w:rsid w:val="007E722C"/>
    <w:rsid w:val="007E7805"/>
    <w:rsid w:val="007F017F"/>
    <w:rsid w:val="007F01D2"/>
    <w:rsid w:val="007F252C"/>
    <w:rsid w:val="007F265B"/>
    <w:rsid w:val="007F32D7"/>
    <w:rsid w:val="007F409C"/>
    <w:rsid w:val="007F5363"/>
    <w:rsid w:val="007F5D59"/>
    <w:rsid w:val="007F6B9E"/>
    <w:rsid w:val="007F6E22"/>
    <w:rsid w:val="007F7264"/>
    <w:rsid w:val="007F73E4"/>
    <w:rsid w:val="007F7C88"/>
    <w:rsid w:val="0080132B"/>
    <w:rsid w:val="0080484E"/>
    <w:rsid w:val="00805013"/>
    <w:rsid w:val="008106A2"/>
    <w:rsid w:val="00810763"/>
    <w:rsid w:val="00810D7E"/>
    <w:rsid w:val="00810EFA"/>
    <w:rsid w:val="00811AE0"/>
    <w:rsid w:val="008131D7"/>
    <w:rsid w:val="00813BC2"/>
    <w:rsid w:val="00813F91"/>
    <w:rsid w:val="00815998"/>
    <w:rsid w:val="008161E9"/>
    <w:rsid w:val="00816683"/>
    <w:rsid w:val="00816D21"/>
    <w:rsid w:val="0081756A"/>
    <w:rsid w:val="00820A42"/>
    <w:rsid w:val="00820F7B"/>
    <w:rsid w:val="00820F95"/>
    <w:rsid w:val="0082115C"/>
    <w:rsid w:val="008229BB"/>
    <w:rsid w:val="008233EF"/>
    <w:rsid w:val="00824099"/>
    <w:rsid w:val="008247E1"/>
    <w:rsid w:val="00825058"/>
    <w:rsid w:val="00826521"/>
    <w:rsid w:val="008305C3"/>
    <w:rsid w:val="00830F81"/>
    <w:rsid w:val="0083112C"/>
    <w:rsid w:val="00832446"/>
    <w:rsid w:val="00832777"/>
    <w:rsid w:val="00832957"/>
    <w:rsid w:val="00832B77"/>
    <w:rsid w:val="0083347B"/>
    <w:rsid w:val="0083350F"/>
    <w:rsid w:val="00833F67"/>
    <w:rsid w:val="00834EF3"/>
    <w:rsid w:val="00834F4E"/>
    <w:rsid w:val="008414A9"/>
    <w:rsid w:val="00842D49"/>
    <w:rsid w:val="00844AE5"/>
    <w:rsid w:val="0084596D"/>
    <w:rsid w:val="00846DD2"/>
    <w:rsid w:val="00847AAF"/>
    <w:rsid w:val="00850C1B"/>
    <w:rsid w:val="00853A03"/>
    <w:rsid w:val="0085441C"/>
    <w:rsid w:val="0085461D"/>
    <w:rsid w:val="00855205"/>
    <w:rsid w:val="00856E0C"/>
    <w:rsid w:val="008575B3"/>
    <w:rsid w:val="00857F35"/>
    <w:rsid w:val="00860281"/>
    <w:rsid w:val="008616FE"/>
    <w:rsid w:val="00862896"/>
    <w:rsid w:val="008633FE"/>
    <w:rsid w:val="008643E3"/>
    <w:rsid w:val="00864673"/>
    <w:rsid w:val="00864F24"/>
    <w:rsid w:val="00864F39"/>
    <w:rsid w:val="00865130"/>
    <w:rsid w:val="008659A7"/>
    <w:rsid w:val="00865E18"/>
    <w:rsid w:val="00866D94"/>
    <w:rsid w:val="008678A4"/>
    <w:rsid w:val="008704B4"/>
    <w:rsid w:val="00870926"/>
    <w:rsid w:val="00870B96"/>
    <w:rsid w:val="008733B2"/>
    <w:rsid w:val="00873DFD"/>
    <w:rsid w:val="00876A94"/>
    <w:rsid w:val="00876AA6"/>
    <w:rsid w:val="00876F8D"/>
    <w:rsid w:val="008771AE"/>
    <w:rsid w:val="008812BE"/>
    <w:rsid w:val="008819C9"/>
    <w:rsid w:val="0088223C"/>
    <w:rsid w:val="0088263D"/>
    <w:rsid w:val="00882D6F"/>
    <w:rsid w:val="00883950"/>
    <w:rsid w:val="008842EC"/>
    <w:rsid w:val="00884F21"/>
    <w:rsid w:val="00887605"/>
    <w:rsid w:val="00887EEF"/>
    <w:rsid w:val="0089035E"/>
    <w:rsid w:val="00890F01"/>
    <w:rsid w:val="008913AC"/>
    <w:rsid w:val="00892B1F"/>
    <w:rsid w:val="00893780"/>
    <w:rsid w:val="0089482B"/>
    <w:rsid w:val="008957B6"/>
    <w:rsid w:val="00897B78"/>
    <w:rsid w:val="008A044E"/>
    <w:rsid w:val="008A0DD8"/>
    <w:rsid w:val="008A22CF"/>
    <w:rsid w:val="008A2FE9"/>
    <w:rsid w:val="008A31A4"/>
    <w:rsid w:val="008A37B4"/>
    <w:rsid w:val="008A3AC8"/>
    <w:rsid w:val="008A3FA7"/>
    <w:rsid w:val="008A434B"/>
    <w:rsid w:val="008A43AE"/>
    <w:rsid w:val="008A588D"/>
    <w:rsid w:val="008A65BD"/>
    <w:rsid w:val="008A6AE6"/>
    <w:rsid w:val="008A6E4F"/>
    <w:rsid w:val="008A7D62"/>
    <w:rsid w:val="008B04DC"/>
    <w:rsid w:val="008B103C"/>
    <w:rsid w:val="008B1B3D"/>
    <w:rsid w:val="008B204E"/>
    <w:rsid w:val="008B2313"/>
    <w:rsid w:val="008B243E"/>
    <w:rsid w:val="008B41CA"/>
    <w:rsid w:val="008B4A5D"/>
    <w:rsid w:val="008B4ABF"/>
    <w:rsid w:val="008B51AE"/>
    <w:rsid w:val="008B6D0C"/>
    <w:rsid w:val="008B6D93"/>
    <w:rsid w:val="008B7DFE"/>
    <w:rsid w:val="008C2C46"/>
    <w:rsid w:val="008C31B6"/>
    <w:rsid w:val="008C320F"/>
    <w:rsid w:val="008C567B"/>
    <w:rsid w:val="008C613A"/>
    <w:rsid w:val="008C657E"/>
    <w:rsid w:val="008C6D7C"/>
    <w:rsid w:val="008C7B2E"/>
    <w:rsid w:val="008D23F0"/>
    <w:rsid w:val="008D2735"/>
    <w:rsid w:val="008D2881"/>
    <w:rsid w:val="008D358B"/>
    <w:rsid w:val="008D501C"/>
    <w:rsid w:val="008D519D"/>
    <w:rsid w:val="008D529B"/>
    <w:rsid w:val="008D5F17"/>
    <w:rsid w:val="008D6779"/>
    <w:rsid w:val="008D6DDB"/>
    <w:rsid w:val="008D7755"/>
    <w:rsid w:val="008D7C03"/>
    <w:rsid w:val="008E1007"/>
    <w:rsid w:val="008E31B0"/>
    <w:rsid w:val="008E40AD"/>
    <w:rsid w:val="008E41BF"/>
    <w:rsid w:val="008E6496"/>
    <w:rsid w:val="008E72AC"/>
    <w:rsid w:val="008E7805"/>
    <w:rsid w:val="008E7DBF"/>
    <w:rsid w:val="008F20D5"/>
    <w:rsid w:val="008F3D28"/>
    <w:rsid w:val="008F4799"/>
    <w:rsid w:val="008F4A15"/>
    <w:rsid w:val="008F5248"/>
    <w:rsid w:val="008F6080"/>
    <w:rsid w:val="008F63BD"/>
    <w:rsid w:val="008F6648"/>
    <w:rsid w:val="008F6D89"/>
    <w:rsid w:val="008F6F1A"/>
    <w:rsid w:val="008F7F13"/>
    <w:rsid w:val="009002D9"/>
    <w:rsid w:val="009027D7"/>
    <w:rsid w:val="009037AF"/>
    <w:rsid w:val="00903C5C"/>
    <w:rsid w:val="00904B11"/>
    <w:rsid w:val="00904FCB"/>
    <w:rsid w:val="0090524B"/>
    <w:rsid w:val="00905ABF"/>
    <w:rsid w:val="00905BA7"/>
    <w:rsid w:val="00905E7F"/>
    <w:rsid w:val="0090691A"/>
    <w:rsid w:val="009073BC"/>
    <w:rsid w:val="009111C8"/>
    <w:rsid w:val="009112C2"/>
    <w:rsid w:val="009143A1"/>
    <w:rsid w:val="009163CD"/>
    <w:rsid w:val="009167DD"/>
    <w:rsid w:val="00916936"/>
    <w:rsid w:val="00917262"/>
    <w:rsid w:val="009175B1"/>
    <w:rsid w:val="00920E54"/>
    <w:rsid w:val="0092159A"/>
    <w:rsid w:val="00922555"/>
    <w:rsid w:val="00922E58"/>
    <w:rsid w:val="00923336"/>
    <w:rsid w:val="009235E5"/>
    <w:rsid w:val="00924084"/>
    <w:rsid w:val="009245E4"/>
    <w:rsid w:val="0092487A"/>
    <w:rsid w:val="0092533C"/>
    <w:rsid w:val="00926340"/>
    <w:rsid w:val="009268D3"/>
    <w:rsid w:val="009311CA"/>
    <w:rsid w:val="0093230A"/>
    <w:rsid w:val="0093258D"/>
    <w:rsid w:val="009332F8"/>
    <w:rsid w:val="009338E6"/>
    <w:rsid w:val="00935AE6"/>
    <w:rsid w:val="00936AE4"/>
    <w:rsid w:val="00937A31"/>
    <w:rsid w:val="00941F77"/>
    <w:rsid w:val="00943672"/>
    <w:rsid w:val="009443F6"/>
    <w:rsid w:val="00944E42"/>
    <w:rsid w:val="00945BC5"/>
    <w:rsid w:val="009468E4"/>
    <w:rsid w:val="00947139"/>
    <w:rsid w:val="00947AB3"/>
    <w:rsid w:val="009538B0"/>
    <w:rsid w:val="00956894"/>
    <w:rsid w:val="009570FA"/>
    <w:rsid w:val="009603EC"/>
    <w:rsid w:val="00960400"/>
    <w:rsid w:val="00960510"/>
    <w:rsid w:val="009606E0"/>
    <w:rsid w:val="00962019"/>
    <w:rsid w:val="00962518"/>
    <w:rsid w:val="00962532"/>
    <w:rsid w:val="00962609"/>
    <w:rsid w:val="00963206"/>
    <w:rsid w:val="00963233"/>
    <w:rsid w:val="009632C9"/>
    <w:rsid w:val="0096482D"/>
    <w:rsid w:val="00964B39"/>
    <w:rsid w:val="0096574E"/>
    <w:rsid w:val="00965C5D"/>
    <w:rsid w:val="0096639A"/>
    <w:rsid w:val="009677D5"/>
    <w:rsid w:val="00967891"/>
    <w:rsid w:val="00967E7B"/>
    <w:rsid w:val="00971A5A"/>
    <w:rsid w:val="00971BA4"/>
    <w:rsid w:val="00972BA6"/>
    <w:rsid w:val="009749FE"/>
    <w:rsid w:val="00974AAC"/>
    <w:rsid w:val="009755C0"/>
    <w:rsid w:val="00975F44"/>
    <w:rsid w:val="009763F4"/>
    <w:rsid w:val="00976DD2"/>
    <w:rsid w:val="00980070"/>
    <w:rsid w:val="009806D4"/>
    <w:rsid w:val="00980B9F"/>
    <w:rsid w:val="0098160F"/>
    <w:rsid w:val="00981CDD"/>
    <w:rsid w:val="00982478"/>
    <w:rsid w:val="00982BB1"/>
    <w:rsid w:val="00983249"/>
    <w:rsid w:val="009834F9"/>
    <w:rsid w:val="00983C40"/>
    <w:rsid w:val="00984A28"/>
    <w:rsid w:val="00987E47"/>
    <w:rsid w:val="00990333"/>
    <w:rsid w:val="0099079F"/>
    <w:rsid w:val="00991325"/>
    <w:rsid w:val="00994777"/>
    <w:rsid w:val="009963F5"/>
    <w:rsid w:val="009967BB"/>
    <w:rsid w:val="009971AE"/>
    <w:rsid w:val="00997B09"/>
    <w:rsid w:val="00997D28"/>
    <w:rsid w:val="009A1051"/>
    <w:rsid w:val="009A16D1"/>
    <w:rsid w:val="009A2FF5"/>
    <w:rsid w:val="009A4B6B"/>
    <w:rsid w:val="009A525C"/>
    <w:rsid w:val="009A5C65"/>
    <w:rsid w:val="009A7BEE"/>
    <w:rsid w:val="009B02B2"/>
    <w:rsid w:val="009B10B2"/>
    <w:rsid w:val="009B12BA"/>
    <w:rsid w:val="009B19FF"/>
    <w:rsid w:val="009B2D5F"/>
    <w:rsid w:val="009B3B8A"/>
    <w:rsid w:val="009B4422"/>
    <w:rsid w:val="009B56FA"/>
    <w:rsid w:val="009B717B"/>
    <w:rsid w:val="009C1F8C"/>
    <w:rsid w:val="009C4510"/>
    <w:rsid w:val="009C6165"/>
    <w:rsid w:val="009C6212"/>
    <w:rsid w:val="009C74CE"/>
    <w:rsid w:val="009D00F7"/>
    <w:rsid w:val="009D088C"/>
    <w:rsid w:val="009D0BBA"/>
    <w:rsid w:val="009D12AC"/>
    <w:rsid w:val="009D12EE"/>
    <w:rsid w:val="009D470C"/>
    <w:rsid w:val="009D4934"/>
    <w:rsid w:val="009D4E90"/>
    <w:rsid w:val="009D6400"/>
    <w:rsid w:val="009D71B3"/>
    <w:rsid w:val="009D7766"/>
    <w:rsid w:val="009D7AEE"/>
    <w:rsid w:val="009E0CFB"/>
    <w:rsid w:val="009E1AB3"/>
    <w:rsid w:val="009E3362"/>
    <w:rsid w:val="009E471C"/>
    <w:rsid w:val="009E5C15"/>
    <w:rsid w:val="009E5D72"/>
    <w:rsid w:val="009E782F"/>
    <w:rsid w:val="009F03E9"/>
    <w:rsid w:val="009F0425"/>
    <w:rsid w:val="009F0632"/>
    <w:rsid w:val="009F14A1"/>
    <w:rsid w:val="009F1FC2"/>
    <w:rsid w:val="009F3EA0"/>
    <w:rsid w:val="009F41B6"/>
    <w:rsid w:val="009F4235"/>
    <w:rsid w:val="009F49AF"/>
    <w:rsid w:val="009F6F8B"/>
    <w:rsid w:val="009F7B59"/>
    <w:rsid w:val="009F7DFB"/>
    <w:rsid w:val="00A02B71"/>
    <w:rsid w:val="00A0321A"/>
    <w:rsid w:val="00A04013"/>
    <w:rsid w:val="00A0446F"/>
    <w:rsid w:val="00A047A3"/>
    <w:rsid w:val="00A05527"/>
    <w:rsid w:val="00A070B7"/>
    <w:rsid w:val="00A070EB"/>
    <w:rsid w:val="00A0716A"/>
    <w:rsid w:val="00A071AA"/>
    <w:rsid w:val="00A0730B"/>
    <w:rsid w:val="00A11A32"/>
    <w:rsid w:val="00A12581"/>
    <w:rsid w:val="00A1294B"/>
    <w:rsid w:val="00A12C12"/>
    <w:rsid w:val="00A1335C"/>
    <w:rsid w:val="00A140E2"/>
    <w:rsid w:val="00A14239"/>
    <w:rsid w:val="00A1451A"/>
    <w:rsid w:val="00A14FFD"/>
    <w:rsid w:val="00A157D4"/>
    <w:rsid w:val="00A163DA"/>
    <w:rsid w:val="00A20480"/>
    <w:rsid w:val="00A205B2"/>
    <w:rsid w:val="00A20B5D"/>
    <w:rsid w:val="00A22DC0"/>
    <w:rsid w:val="00A23F72"/>
    <w:rsid w:val="00A24C18"/>
    <w:rsid w:val="00A24E0E"/>
    <w:rsid w:val="00A26AC6"/>
    <w:rsid w:val="00A3067C"/>
    <w:rsid w:val="00A30B59"/>
    <w:rsid w:val="00A33312"/>
    <w:rsid w:val="00A333CF"/>
    <w:rsid w:val="00A34E3B"/>
    <w:rsid w:val="00A34ECD"/>
    <w:rsid w:val="00A3554B"/>
    <w:rsid w:val="00A356AF"/>
    <w:rsid w:val="00A35CB3"/>
    <w:rsid w:val="00A35DEC"/>
    <w:rsid w:val="00A37666"/>
    <w:rsid w:val="00A37C25"/>
    <w:rsid w:val="00A418E0"/>
    <w:rsid w:val="00A4196C"/>
    <w:rsid w:val="00A4238E"/>
    <w:rsid w:val="00A43EB7"/>
    <w:rsid w:val="00A45425"/>
    <w:rsid w:val="00A4664D"/>
    <w:rsid w:val="00A50FE7"/>
    <w:rsid w:val="00A5136D"/>
    <w:rsid w:val="00A517E6"/>
    <w:rsid w:val="00A539FB"/>
    <w:rsid w:val="00A53CF9"/>
    <w:rsid w:val="00A56729"/>
    <w:rsid w:val="00A609E6"/>
    <w:rsid w:val="00A60E53"/>
    <w:rsid w:val="00A616F5"/>
    <w:rsid w:val="00A61BD8"/>
    <w:rsid w:val="00A63BAE"/>
    <w:rsid w:val="00A64830"/>
    <w:rsid w:val="00A64D6D"/>
    <w:rsid w:val="00A65D54"/>
    <w:rsid w:val="00A703FE"/>
    <w:rsid w:val="00A719D4"/>
    <w:rsid w:val="00A71C55"/>
    <w:rsid w:val="00A71E75"/>
    <w:rsid w:val="00A73476"/>
    <w:rsid w:val="00A73A60"/>
    <w:rsid w:val="00A74693"/>
    <w:rsid w:val="00A74B79"/>
    <w:rsid w:val="00A7536F"/>
    <w:rsid w:val="00A7572C"/>
    <w:rsid w:val="00A75E37"/>
    <w:rsid w:val="00A75EAE"/>
    <w:rsid w:val="00A808B9"/>
    <w:rsid w:val="00A81D80"/>
    <w:rsid w:val="00A82D2D"/>
    <w:rsid w:val="00A83538"/>
    <w:rsid w:val="00A83CBA"/>
    <w:rsid w:val="00A84E6A"/>
    <w:rsid w:val="00A865DB"/>
    <w:rsid w:val="00A902AC"/>
    <w:rsid w:val="00A91409"/>
    <w:rsid w:val="00A91D54"/>
    <w:rsid w:val="00A9428E"/>
    <w:rsid w:val="00A94B26"/>
    <w:rsid w:val="00A95269"/>
    <w:rsid w:val="00A95FFD"/>
    <w:rsid w:val="00A9693E"/>
    <w:rsid w:val="00A97E98"/>
    <w:rsid w:val="00AA0AE4"/>
    <w:rsid w:val="00AA0C0A"/>
    <w:rsid w:val="00AA266E"/>
    <w:rsid w:val="00AA2A39"/>
    <w:rsid w:val="00AA2B81"/>
    <w:rsid w:val="00AA2F0C"/>
    <w:rsid w:val="00AA3129"/>
    <w:rsid w:val="00AA463E"/>
    <w:rsid w:val="00AA4E56"/>
    <w:rsid w:val="00AA533D"/>
    <w:rsid w:val="00AA5645"/>
    <w:rsid w:val="00AA66EE"/>
    <w:rsid w:val="00AA77C6"/>
    <w:rsid w:val="00AB0509"/>
    <w:rsid w:val="00AB1C0F"/>
    <w:rsid w:val="00AB1D01"/>
    <w:rsid w:val="00AB22E9"/>
    <w:rsid w:val="00AB2ED3"/>
    <w:rsid w:val="00AB3E40"/>
    <w:rsid w:val="00AB466B"/>
    <w:rsid w:val="00AB495E"/>
    <w:rsid w:val="00AB4A2C"/>
    <w:rsid w:val="00AB7A4B"/>
    <w:rsid w:val="00AB7BF6"/>
    <w:rsid w:val="00AC0011"/>
    <w:rsid w:val="00AC0371"/>
    <w:rsid w:val="00AC1213"/>
    <w:rsid w:val="00AC1855"/>
    <w:rsid w:val="00AC695D"/>
    <w:rsid w:val="00AC6DA4"/>
    <w:rsid w:val="00AD1EBD"/>
    <w:rsid w:val="00AD2792"/>
    <w:rsid w:val="00AD27E7"/>
    <w:rsid w:val="00AD2CD5"/>
    <w:rsid w:val="00AD2E44"/>
    <w:rsid w:val="00AD41C3"/>
    <w:rsid w:val="00AD5E83"/>
    <w:rsid w:val="00AD6628"/>
    <w:rsid w:val="00AD6752"/>
    <w:rsid w:val="00AD67D1"/>
    <w:rsid w:val="00AD7E28"/>
    <w:rsid w:val="00AE0012"/>
    <w:rsid w:val="00AE1488"/>
    <w:rsid w:val="00AE1BA8"/>
    <w:rsid w:val="00AE3E82"/>
    <w:rsid w:val="00AE5067"/>
    <w:rsid w:val="00AE5F26"/>
    <w:rsid w:val="00AE6957"/>
    <w:rsid w:val="00AE6F71"/>
    <w:rsid w:val="00AE7CD5"/>
    <w:rsid w:val="00AE7F5E"/>
    <w:rsid w:val="00AF0694"/>
    <w:rsid w:val="00AF1301"/>
    <w:rsid w:val="00AF1EBF"/>
    <w:rsid w:val="00AF24A0"/>
    <w:rsid w:val="00AF25A7"/>
    <w:rsid w:val="00AF26A1"/>
    <w:rsid w:val="00AF3181"/>
    <w:rsid w:val="00AF3A29"/>
    <w:rsid w:val="00AF3D59"/>
    <w:rsid w:val="00AF3DC7"/>
    <w:rsid w:val="00AF412D"/>
    <w:rsid w:val="00AF619D"/>
    <w:rsid w:val="00AF629B"/>
    <w:rsid w:val="00AF7905"/>
    <w:rsid w:val="00B014EB"/>
    <w:rsid w:val="00B04188"/>
    <w:rsid w:val="00B05241"/>
    <w:rsid w:val="00B07227"/>
    <w:rsid w:val="00B101B9"/>
    <w:rsid w:val="00B111CD"/>
    <w:rsid w:val="00B1265A"/>
    <w:rsid w:val="00B12A81"/>
    <w:rsid w:val="00B13DC2"/>
    <w:rsid w:val="00B14951"/>
    <w:rsid w:val="00B155C6"/>
    <w:rsid w:val="00B157CB"/>
    <w:rsid w:val="00B17056"/>
    <w:rsid w:val="00B1715A"/>
    <w:rsid w:val="00B204FD"/>
    <w:rsid w:val="00B20C19"/>
    <w:rsid w:val="00B2216F"/>
    <w:rsid w:val="00B22C7D"/>
    <w:rsid w:val="00B22FC0"/>
    <w:rsid w:val="00B23BE2"/>
    <w:rsid w:val="00B25411"/>
    <w:rsid w:val="00B257F5"/>
    <w:rsid w:val="00B26AAE"/>
    <w:rsid w:val="00B27265"/>
    <w:rsid w:val="00B27B49"/>
    <w:rsid w:val="00B3025F"/>
    <w:rsid w:val="00B3034C"/>
    <w:rsid w:val="00B309C9"/>
    <w:rsid w:val="00B315D9"/>
    <w:rsid w:val="00B317AE"/>
    <w:rsid w:val="00B31AC3"/>
    <w:rsid w:val="00B31F61"/>
    <w:rsid w:val="00B31FCC"/>
    <w:rsid w:val="00B324F7"/>
    <w:rsid w:val="00B332FE"/>
    <w:rsid w:val="00B33D63"/>
    <w:rsid w:val="00B341C1"/>
    <w:rsid w:val="00B34798"/>
    <w:rsid w:val="00B35951"/>
    <w:rsid w:val="00B36AAF"/>
    <w:rsid w:val="00B37067"/>
    <w:rsid w:val="00B37452"/>
    <w:rsid w:val="00B37612"/>
    <w:rsid w:val="00B40E0A"/>
    <w:rsid w:val="00B414BF"/>
    <w:rsid w:val="00B428D3"/>
    <w:rsid w:val="00B440D3"/>
    <w:rsid w:val="00B47B80"/>
    <w:rsid w:val="00B50B76"/>
    <w:rsid w:val="00B519A8"/>
    <w:rsid w:val="00B52363"/>
    <w:rsid w:val="00B52CB6"/>
    <w:rsid w:val="00B54A8F"/>
    <w:rsid w:val="00B54EED"/>
    <w:rsid w:val="00B55409"/>
    <w:rsid w:val="00B5563B"/>
    <w:rsid w:val="00B55B2C"/>
    <w:rsid w:val="00B567AB"/>
    <w:rsid w:val="00B5694E"/>
    <w:rsid w:val="00B5750A"/>
    <w:rsid w:val="00B60865"/>
    <w:rsid w:val="00B63B5B"/>
    <w:rsid w:val="00B63D4A"/>
    <w:rsid w:val="00B64B95"/>
    <w:rsid w:val="00B65C75"/>
    <w:rsid w:val="00B65FAA"/>
    <w:rsid w:val="00B67196"/>
    <w:rsid w:val="00B70574"/>
    <w:rsid w:val="00B71C15"/>
    <w:rsid w:val="00B721C8"/>
    <w:rsid w:val="00B72D88"/>
    <w:rsid w:val="00B743D5"/>
    <w:rsid w:val="00B812B0"/>
    <w:rsid w:val="00B8163D"/>
    <w:rsid w:val="00B824F3"/>
    <w:rsid w:val="00B828A6"/>
    <w:rsid w:val="00B83421"/>
    <w:rsid w:val="00B83DD4"/>
    <w:rsid w:val="00B84BC4"/>
    <w:rsid w:val="00B85BEE"/>
    <w:rsid w:val="00B85F0D"/>
    <w:rsid w:val="00B87B9B"/>
    <w:rsid w:val="00B9281F"/>
    <w:rsid w:val="00B92D56"/>
    <w:rsid w:val="00B95826"/>
    <w:rsid w:val="00B95B1C"/>
    <w:rsid w:val="00B960B5"/>
    <w:rsid w:val="00B963D9"/>
    <w:rsid w:val="00BA136F"/>
    <w:rsid w:val="00BA13A1"/>
    <w:rsid w:val="00BA31A9"/>
    <w:rsid w:val="00BA36B2"/>
    <w:rsid w:val="00BA37C7"/>
    <w:rsid w:val="00BA3E69"/>
    <w:rsid w:val="00BA3E96"/>
    <w:rsid w:val="00BA4A7C"/>
    <w:rsid w:val="00BA4EC1"/>
    <w:rsid w:val="00BA6C04"/>
    <w:rsid w:val="00BA6C5F"/>
    <w:rsid w:val="00BB0F4D"/>
    <w:rsid w:val="00BB1E6C"/>
    <w:rsid w:val="00BB2027"/>
    <w:rsid w:val="00BB22E4"/>
    <w:rsid w:val="00BB266A"/>
    <w:rsid w:val="00BB2900"/>
    <w:rsid w:val="00BB34EA"/>
    <w:rsid w:val="00BB4C27"/>
    <w:rsid w:val="00BB4FBE"/>
    <w:rsid w:val="00BB51DF"/>
    <w:rsid w:val="00BB7C9D"/>
    <w:rsid w:val="00BC032B"/>
    <w:rsid w:val="00BC110C"/>
    <w:rsid w:val="00BC1762"/>
    <w:rsid w:val="00BC2210"/>
    <w:rsid w:val="00BC3546"/>
    <w:rsid w:val="00BC4C4E"/>
    <w:rsid w:val="00BC563F"/>
    <w:rsid w:val="00BC5AAE"/>
    <w:rsid w:val="00BC7ED9"/>
    <w:rsid w:val="00BD4E53"/>
    <w:rsid w:val="00BD615C"/>
    <w:rsid w:val="00BD6C8C"/>
    <w:rsid w:val="00BD72E2"/>
    <w:rsid w:val="00BE1241"/>
    <w:rsid w:val="00BE17FD"/>
    <w:rsid w:val="00BE18B2"/>
    <w:rsid w:val="00BE18B3"/>
    <w:rsid w:val="00BE2D6B"/>
    <w:rsid w:val="00BE4099"/>
    <w:rsid w:val="00BE4565"/>
    <w:rsid w:val="00BE5DDF"/>
    <w:rsid w:val="00BE6110"/>
    <w:rsid w:val="00BE6B9F"/>
    <w:rsid w:val="00BE7355"/>
    <w:rsid w:val="00BE770A"/>
    <w:rsid w:val="00BF1EA4"/>
    <w:rsid w:val="00BF2C4D"/>
    <w:rsid w:val="00BF3CB2"/>
    <w:rsid w:val="00BF4DED"/>
    <w:rsid w:val="00BF5183"/>
    <w:rsid w:val="00BF579D"/>
    <w:rsid w:val="00BF5D0A"/>
    <w:rsid w:val="00BF61AC"/>
    <w:rsid w:val="00BF7245"/>
    <w:rsid w:val="00BF74FB"/>
    <w:rsid w:val="00BF7E3C"/>
    <w:rsid w:val="00BF7F2F"/>
    <w:rsid w:val="00BF7FEB"/>
    <w:rsid w:val="00C00C91"/>
    <w:rsid w:val="00C017E9"/>
    <w:rsid w:val="00C01F25"/>
    <w:rsid w:val="00C02867"/>
    <w:rsid w:val="00C02E5E"/>
    <w:rsid w:val="00C048BA"/>
    <w:rsid w:val="00C04F33"/>
    <w:rsid w:val="00C0510A"/>
    <w:rsid w:val="00C0519A"/>
    <w:rsid w:val="00C059C6"/>
    <w:rsid w:val="00C05A6F"/>
    <w:rsid w:val="00C05E31"/>
    <w:rsid w:val="00C07096"/>
    <w:rsid w:val="00C106BE"/>
    <w:rsid w:val="00C10AE7"/>
    <w:rsid w:val="00C10C34"/>
    <w:rsid w:val="00C1101C"/>
    <w:rsid w:val="00C12362"/>
    <w:rsid w:val="00C13212"/>
    <w:rsid w:val="00C13F95"/>
    <w:rsid w:val="00C14793"/>
    <w:rsid w:val="00C15B1C"/>
    <w:rsid w:val="00C15D99"/>
    <w:rsid w:val="00C1620E"/>
    <w:rsid w:val="00C17004"/>
    <w:rsid w:val="00C177C5"/>
    <w:rsid w:val="00C20079"/>
    <w:rsid w:val="00C21D84"/>
    <w:rsid w:val="00C24039"/>
    <w:rsid w:val="00C24AFC"/>
    <w:rsid w:val="00C25C5F"/>
    <w:rsid w:val="00C25CB6"/>
    <w:rsid w:val="00C26213"/>
    <w:rsid w:val="00C269A6"/>
    <w:rsid w:val="00C26C6F"/>
    <w:rsid w:val="00C27563"/>
    <w:rsid w:val="00C309C3"/>
    <w:rsid w:val="00C3138D"/>
    <w:rsid w:val="00C31E1E"/>
    <w:rsid w:val="00C3238F"/>
    <w:rsid w:val="00C32527"/>
    <w:rsid w:val="00C332F1"/>
    <w:rsid w:val="00C33599"/>
    <w:rsid w:val="00C3377E"/>
    <w:rsid w:val="00C3395F"/>
    <w:rsid w:val="00C33EFC"/>
    <w:rsid w:val="00C34B80"/>
    <w:rsid w:val="00C3661B"/>
    <w:rsid w:val="00C36634"/>
    <w:rsid w:val="00C36B89"/>
    <w:rsid w:val="00C36DE1"/>
    <w:rsid w:val="00C374F5"/>
    <w:rsid w:val="00C3756A"/>
    <w:rsid w:val="00C40B9B"/>
    <w:rsid w:val="00C40BA5"/>
    <w:rsid w:val="00C40F79"/>
    <w:rsid w:val="00C410A1"/>
    <w:rsid w:val="00C41EC2"/>
    <w:rsid w:val="00C424E0"/>
    <w:rsid w:val="00C42A9E"/>
    <w:rsid w:val="00C4346C"/>
    <w:rsid w:val="00C439FF"/>
    <w:rsid w:val="00C449F8"/>
    <w:rsid w:val="00C44B9D"/>
    <w:rsid w:val="00C4519D"/>
    <w:rsid w:val="00C45F05"/>
    <w:rsid w:val="00C46D08"/>
    <w:rsid w:val="00C474FA"/>
    <w:rsid w:val="00C475F1"/>
    <w:rsid w:val="00C47EA3"/>
    <w:rsid w:val="00C50E77"/>
    <w:rsid w:val="00C5149F"/>
    <w:rsid w:val="00C51CCF"/>
    <w:rsid w:val="00C530CC"/>
    <w:rsid w:val="00C53B56"/>
    <w:rsid w:val="00C541D0"/>
    <w:rsid w:val="00C54CA2"/>
    <w:rsid w:val="00C54CB1"/>
    <w:rsid w:val="00C567C9"/>
    <w:rsid w:val="00C572C5"/>
    <w:rsid w:val="00C57ADD"/>
    <w:rsid w:val="00C6056B"/>
    <w:rsid w:val="00C62AA7"/>
    <w:rsid w:val="00C62B59"/>
    <w:rsid w:val="00C6342F"/>
    <w:rsid w:val="00C6387B"/>
    <w:rsid w:val="00C65908"/>
    <w:rsid w:val="00C65D27"/>
    <w:rsid w:val="00C669EA"/>
    <w:rsid w:val="00C67792"/>
    <w:rsid w:val="00C718C6"/>
    <w:rsid w:val="00C71C3C"/>
    <w:rsid w:val="00C71F9E"/>
    <w:rsid w:val="00C72979"/>
    <w:rsid w:val="00C73BA1"/>
    <w:rsid w:val="00C7517B"/>
    <w:rsid w:val="00C75AA6"/>
    <w:rsid w:val="00C75ABD"/>
    <w:rsid w:val="00C75C39"/>
    <w:rsid w:val="00C77891"/>
    <w:rsid w:val="00C77B81"/>
    <w:rsid w:val="00C80304"/>
    <w:rsid w:val="00C80FCD"/>
    <w:rsid w:val="00C82A67"/>
    <w:rsid w:val="00C82E0D"/>
    <w:rsid w:val="00C842E6"/>
    <w:rsid w:val="00C84774"/>
    <w:rsid w:val="00C859FD"/>
    <w:rsid w:val="00C86E6A"/>
    <w:rsid w:val="00C879B5"/>
    <w:rsid w:val="00C87F91"/>
    <w:rsid w:val="00C900EC"/>
    <w:rsid w:val="00C9144A"/>
    <w:rsid w:val="00C91DC9"/>
    <w:rsid w:val="00C92305"/>
    <w:rsid w:val="00C92EF1"/>
    <w:rsid w:val="00C93A0F"/>
    <w:rsid w:val="00C95AFD"/>
    <w:rsid w:val="00C95EE7"/>
    <w:rsid w:val="00C9675E"/>
    <w:rsid w:val="00C969B0"/>
    <w:rsid w:val="00C96B16"/>
    <w:rsid w:val="00C97E86"/>
    <w:rsid w:val="00CA0D3B"/>
    <w:rsid w:val="00CA1357"/>
    <w:rsid w:val="00CA17E1"/>
    <w:rsid w:val="00CA2C43"/>
    <w:rsid w:val="00CA335E"/>
    <w:rsid w:val="00CA342C"/>
    <w:rsid w:val="00CA39E7"/>
    <w:rsid w:val="00CA3A32"/>
    <w:rsid w:val="00CA4974"/>
    <w:rsid w:val="00CA7397"/>
    <w:rsid w:val="00CA7714"/>
    <w:rsid w:val="00CB1121"/>
    <w:rsid w:val="00CB277F"/>
    <w:rsid w:val="00CB5A33"/>
    <w:rsid w:val="00CB5A90"/>
    <w:rsid w:val="00CB6053"/>
    <w:rsid w:val="00CB7204"/>
    <w:rsid w:val="00CB7AC6"/>
    <w:rsid w:val="00CC0CF5"/>
    <w:rsid w:val="00CC3A1F"/>
    <w:rsid w:val="00CC3C51"/>
    <w:rsid w:val="00CC3C85"/>
    <w:rsid w:val="00CC44B6"/>
    <w:rsid w:val="00CC4B73"/>
    <w:rsid w:val="00CC5BEE"/>
    <w:rsid w:val="00CC6167"/>
    <w:rsid w:val="00CC65D3"/>
    <w:rsid w:val="00CC6E0F"/>
    <w:rsid w:val="00CC7CFA"/>
    <w:rsid w:val="00CC7E7D"/>
    <w:rsid w:val="00CD1614"/>
    <w:rsid w:val="00CD23AA"/>
    <w:rsid w:val="00CD375D"/>
    <w:rsid w:val="00CD4E50"/>
    <w:rsid w:val="00CD5064"/>
    <w:rsid w:val="00CD559E"/>
    <w:rsid w:val="00CD59C1"/>
    <w:rsid w:val="00CD5AE5"/>
    <w:rsid w:val="00CD5B51"/>
    <w:rsid w:val="00CD6295"/>
    <w:rsid w:val="00CD76FD"/>
    <w:rsid w:val="00CE0CD4"/>
    <w:rsid w:val="00CE0DE6"/>
    <w:rsid w:val="00CE147A"/>
    <w:rsid w:val="00CE1660"/>
    <w:rsid w:val="00CE173B"/>
    <w:rsid w:val="00CE1E88"/>
    <w:rsid w:val="00CE2883"/>
    <w:rsid w:val="00CE307B"/>
    <w:rsid w:val="00CE319F"/>
    <w:rsid w:val="00CE5B75"/>
    <w:rsid w:val="00CE5DB0"/>
    <w:rsid w:val="00CE718F"/>
    <w:rsid w:val="00CE7A3A"/>
    <w:rsid w:val="00CF0489"/>
    <w:rsid w:val="00CF2E49"/>
    <w:rsid w:val="00CF443D"/>
    <w:rsid w:val="00CF5B7D"/>
    <w:rsid w:val="00D00296"/>
    <w:rsid w:val="00D04D13"/>
    <w:rsid w:val="00D04F3E"/>
    <w:rsid w:val="00D06CBE"/>
    <w:rsid w:val="00D06CFF"/>
    <w:rsid w:val="00D06FC7"/>
    <w:rsid w:val="00D103CB"/>
    <w:rsid w:val="00D12A4E"/>
    <w:rsid w:val="00D13265"/>
    <w:rsid w:val="00D146E6"/>
    <w:rsid w:val="00D15D15"/>
    <w:rsid w:val="00D1624F"/>
    <w:rsid w:val="00D16256"/>
    <w:rsid w:val="00D16346"/>
    <w:rsid w:val="00D164D9"/>
    <w:rsid w:val="00D1695A"/>
    <w:rsid w:val="00D212C7"/>
    <w:rsid w:val="00D2187F"/>
    <w:rsid w:val="00D21BD2"/>
    <w:rsid w:val="00D220DE"/>
    <w:rsid w:val="00D2336D"/>
    <w:rsid w:val="00D2342C"/>
    <w:rsid w:val="00D26915"/>
    <w:rsid w:val="00D30104"/>
    <w:rsid w:val="00D31993"/>
    <w:rsid w:val="00D31EBC"/>
    <w:rsid w:val="00D31F7D"/>
    <w:rsid w:val="00D3200B"/>
    <w:rsid w:val="00D32B5F"/>
    <w:rsid w:val="00D32C87"/>
    <w:rsid w:val="00D34183"/>
    <w:rsid w:val="00D35C29"/>
    <w:rsid w:val="00D36954"/>
    <w:rsid w:val="00D375D9"/>
    <w:rsid w:val="00D4076C"/>
    <w:rsid w:val="00D40BB6"/>
    <w:rsid w:val="00D40C45"/>
    <w:rsid w:val="00D41765"/>
    <w:rsid w:val="00D41CE3"/>
    <w:rsid w:val="00D41F2B"/>
    <w:rsid w:val="00D42EEC"/>
    <w:rsid w:val="00D44545"/>
    <w:rsid w:val="00D44E17"/>
    <w:rsid w:val="00D457D2"/>
    <w:rsid w:val="00D458E3"/>
    <w:rsid w:val="00D461CA"/>
    <w:rsid w:val="00D472A1"/>
    <w:rsid w:val="00D47EEA"/>
    <w:rsid w:val="00D50AED"/>
    <w:rsid w:val="00D51D06"/>
    <w:rsid w:val="00D5272C"/>
    <w:rsid w:val="00D53D50"/>
    <w:rsid w:val="00D54F9E"/>
    <w:rsid w:val="00D55C02"/>
    <w:rsid w:val="00D56859"/>
    <w:rsid w:val="00D572AC"/>
    <w:rsid w:val="00D575A1"/>
    <w:rsid w:val="00D57C56"/>
    <w:rsid w:val="00D61197"/>
    <w:rsid w:val="00D611AD"/>
    <w:rsid w:val="00D61B64"/>
    <w:rsid w:val="00D62FA1"/>
    <w:rsid w:val="00D63820"/>
    <w:rsid w:val="00D63AC3"/>
    <w:rsid w:val="00D64725"/>
    <w:rsid w:val="00D66344"/>
    <w:rsid w:val="00D7054D"/>
    <w:rsid w:val="00D70B50"/>
    <w:rsid w:val="00D71707"/>
    <w:rsid w:val="00D71A86"/>
    <w:rsid w:val="00D7349A"/>
    <w:rsid w:val="00D73A4D"/>
    <w:rsid w:val="00D74231"/>
    <w:rsid w:val="00D7598A"/>
    <w:rsid w:val="00D823AC"/>
    <w:rsid w:val="00D82748"/>
    <w:rsid w:val="00D861B7"/>
    <w:rsid w:val="00D863C5"/>
    <w:rsid w:val="00D870A4"/>
    <w:rsid w:val="00D870F0"/>
    <w:rsid w:val="00D876C2"/>
    <w:rsid w:val="00D877E3"/>
    <w:rsid w:val="00D878C0"/>
    <w:rsid w:val="00D87F01"/>
    <w:rsid w:val="00D904FD"/>
    <w:rsid w:val="00D90666"/>
    <w:rsid w:val="00D90723"/>
    <w:rsid w:val="00D90B56"/>
    <w:rsid w:val="00D91075"/>
    <w:rsid w:val="00D91160"/>
    <w:rsid w:val="00D912F4"/>
    <w:rsid w:val="00D921EE"/>
    <w:rsid w:val="00D92281"/>
    <w:rsid w:val="00D928A6"/>
    <w:rsid w:val="00D936E4"/>
    <w:rsid w:val="00D94956"/>
    <w:rsid w:val="00D94CD6"/>
    <w:rsid w:val="00D94D4E"/>
    <w:rsid w:val="00D9514E"/>
    <w:rsid w:val="00D9515F"/>
    <w:rsid w:val="00D9534B"/>
    <w:rsid w:val="00D9569D"/>
    <w:rsid w:val="00D96E6D"/>
    <w:rsid w:val="00D97C06"/>
    <w:rsid w:val="00D97F85"/>
    <w:rsid w:val="00DA0435"/>
    <w:rsid w:val="00DA2CA1"/>
    <w:rsid w:val="00DA36A9"/>
    <w:rsid w:val="00DA3AA1"/>
    <w:rsid w:val="00DA3BCC"/>
    <w:rsid w:val="00DA3DC4"/>
    <w:rsid w:val="00DA3E5B"/>
    <w:rsid w:val="00DA4396"/>
    <w:rsid w:val="00DA43BE"/>
    <w:rsid w:val="00DA45E8"/>
    <w:rsid w:val="00DA46E4"/>
    <w:rsid w:val="00DA5DE8"/>
    <w:rsid w:val="00DA5F1A"/>
    <w:rsid w:val="00DA60ED"/>
    <w:rsid w:val="00DA6430"/>
    <w:rsid w:val="00DA69AF"/>
    <w:rsid w:val="00DA7366"/>
    <w:rsid w:val="00DA75A4"/>
    <w:rsid w:val="00DA7D99"/>
    <w:rsid w:val="00DB0A1E"/>
    <w:rsid w:val="00DB1149"/>
    <w:rsid w:val="00DB2248"/>
    <w:rsid w:val="00DB249A"/>
    <w:rsid w:val="00DB3D68"/>
    <w:rsid w:val="00DB4A2E"/>
    <w:rsid w:val="00DB4C66"/>
    <w:rsid w:val="00DB57B6"/>
    <w:rsid w:val="00DB5FB7"/>
    <w:rsid w:val="00DB6569"/>
    <w:rsid w:val="00DB749B"/>
    <w:rsid w:val="00DC1228"/>
    <w:rsid w:val="00DC147F"/>
    <w:rsid w:val="00DC16CF"/>
    <w:rsid w:val="00DC1BD2"/>
    <w:rsid w:val="00DC1CD9"/>
    <w:rsid w:val="00DC1FEE"/>
    <w:rsid w:val="00DC279B"/>
    <w:rsid w:val="00DC328B"/>
    <w:rsid w:val="00DC38A0"/>
    <w:rsid w:val="00DC5490"/>
    <w:rsid w:val="00DC719C"/>
    <w:rsid w:val="00DC75AA"/>
    <w:rsid w:val="00DC7A3F"/>
    <w:rsid w:val="00DD06D6"/>
    <w:rsid w:val="00DD0CA2"/>
    <w:rsid w:val="00DD1724"/>
    <w:rsid w:val="00DD2215"/>
    <w:rsid w:val="00DD2FA2"/>
    <w:rsid w:val="00DD479C"/>
    <w:rsid w:val="00DD4E17"/>
    <w:rsid w:val="00DD504E"/>
    <w:rsid w:val="00DD51AD"/>
    <w:rsid w:val="00DD5C0D"/>
    <w:rsid w:val="00DD6154"/>
    <w:rsid w:val="00DD649A"/>
    <w:rsid w:val="00DD6514"/>
    <w:rsid w:val="00DD76F2"/>
    <w:rsid w:val="00DE063B"/>
    <w:rsid w:val="00DE100A"/>
    <w:rsid w:val="00DE2206"/>
    <w:rsid w:val="00DE2368"/>
    <w:rsid w:val="00DE34F0"/>
    <w:rsid w:val="00DE3A62"/>
    <w:rsid w:val="00DE44A6"/>
    <w:rsid w:val="00DE4B1E"/>
    <w:rsid w:val="00DE508F"/>
    <w:rsid w:val="00DE5696"/>
    <w:rsid w:val="00DE630A"/>
    <w:rsid w:val="00DE67F6"/>
    <w:rsid w:val="00DE7C02"/>
    <w:rsid w:val="00DF1E65"/>
    <w:rsid w:val="00DF2D0E"/>
    <w:rsid w:val="00DF36E7"/>
    <w:rsid w:val="00DF3FE7"/>
    <w:rsid w:val="00DF4C8E"/>
    <w:rsid w:val="00DF531E"/>
    <w:rsid w:val="00DF6788"/>
    <w:rsid w:val="00DF7BE1"/>
    <w:rsid w:val="00E0011A"/>
    <w:rsid w:val="00E010F2"/>
    <w:rsid w:val="00E028C4"/>
    <w:rsid w:val="00E02A35"/>
    <w:rsid w:val="00E0429F"/>
    <w:rsid w:val="00E0495E"/>
    <w:rsid w:val="00E04E1F"/>
    <w:rsid w:val="00E05F1E"/>
    <w:rsid w:val="00E061BA"/>
    <w:rsid w:val="00E0756F"/>
    <w:rsid w:val="00E077E0"/>
    <w:rsid w:val="00E103A0"/>
    <w:rsid w:val="00E10F24"/>
    <w:rsid w:val="00E1250A"/>
    <w:rsid w:val="00E142B8"/>
    <w:rsid w:val="00E14CB2"/>
    <w:rsid w:val="00E15021"/>
    <w:rsid w:val="00E152E0"/>
    <w:rsid w:val="00E15DB0"/>
    <w:rsid w:val="00E16620"/>
    <w:rsid w:val="00E201C8"/>
    <w:rsid w:val="00E20960"/>
    <w:rsid w:val="00E21D90"/>
    <w:rsid w:val="00E23434"/>
    <w:rsid w:val="00E23B25"/>
    <w:rsid w:val="00E25519"/>
    <w:rsid w:val="00E26173"/>
    <w:rsid w:val="00E265FD"/>
    <w:rsid w:val="00E267D1"/>
    <w:rsid w:val="00E269D2"/>
    <w:rsid w:val="00E275F6"/>
    <w:rsid w:val="00E278AC"/>
    <w:rsid w:val="00E309D0"/>
    <w:rsid w:val="00E31CAE"/>
    <w:rsid w:val="00E31F95"/>
    <w:rsid w:val="00E32459"/>
    <w:rsid w:val="00E330E9"/>
    <w:rsid w:val="00E33C59"/>
    <w:rsid w:val="00E33DE3"/>
    <w:rsid w:val="00E344AB"/>
    <w:rsid w:val="00E348D3"/>
    <w:rsid w:val="00E34D2A"/>
    <w:rsid w:val="00E36114"/>
    <w:rsid w:val="00E36CFA"/>
    <w:rsid w:val="00E37A2D"/>
    <w:rsid w:val="00E40AB9"/>
    <w:rsid w:val="00E41010"/>
    <w:rsid w:val="00E4123E"/>
    <w:rsid w:val="00E41666"/>
    <w:rsid w:val="00E424A9"/>
    <w:rsid w:val="00E432B5"/>
    <w:rsid w:val="00E436B6"/>
    <w:rsid w:val="00E443AE"/>
    <w:rsid w:val="00E4475E"/>
    <w:rsid w:val="00E44846"/>
    <w:rsid w:val="00E44D7F"/>
    <w:rsid w:val="00E4514B"/>
    <w:rsid w:val="00E46753"/>
    <w:rsid w:val="00E4680E"/>
    <w:rsid w:val="00E46B9E"/>
    <w:rsid w:val="00E47EB8"/>
    <w:rsid w:val="00E508A3"/>
    <w:rsid w:val="00E50F8D"/>
    <w:rsid w:val="00E5163B"/>
    <w:rsid w:val="00E51A8B"/>
    <w:rsid w:val="00E529B9"/>
    <w:rsid w:val="00E52FFF"/>
    <w:rsid w:val="00E54CFB"/>
    <w:rsid w:val="00E55CB3"/>
    <w:rsid w:val="00E565A8"/>
    <w:rsid w:val="00E57588"/>
    <w:rsid w:val="00E5778A"/>
    <w:rsid w:val="00E60551"/>
    <w:rsid w:val="00E60B70"/>
    <w:rsid w:val="00E61C7E"/>
    <w:rsid w:val="00E62D48"/>
    <w:rsid w:val="00E62E80"/>
    <w:rsid w:val="00E6427C"/>
    <w:rsid w:val="00E64711"/>
    <w:rsid w:val="00E658EB"/>
    <w:rsid w:val="00E6594F"/>
    <w:rsid w:val="00E66B24"/>
    <w:rsid w:val="00E670E3"/>
    <w:rsid w:val="00E701F5"/>
    <w:rsid w:val="00E70A3D"/>
    <w:rsid w:val="00E70C8E"/>
    <w:rsid w:val="00E715AD"/>
    <w:rsid w:val="00E71913"/>
    <w:rsid w:val="00E73277"/>
    <w:rsid w:val="00E751C8"/>
    <w:rsid w:val="00E807F9"/>
    <w:rsid w:val="00E81468"/>
    <w:rsid w:val="00E818CB"/>
    <w:rsid w:val="00E822F3"/>
    <w:rsid w:val="00E82744"/>
    <w:rsid w:val="00E827D5"/>
    <w:rsid w:val="00E82AE1"/>
    <w:rsid w:val="00E82D6E"/>
    <w:rsid w:val="00E82E15"/>
    <w:rsid w:val="00E84770"/>
    <w:rsid w:val="00E848D8"/>
    <w:rsid w:val="00E84916"/>
    <w:rsid w:val="00E85ACD"/>
    <w:rsid w:val="00E85AF2"/>
    <w:rsid w:val="00E879BE"/>
    <w:rsid w:val="00E90078"/>
    <w:rsid w:val="00E90CAA"/>
    <w:rsid w:val="00E91D81"/>
    <w:rsid w:val="00E929D6"/>
    <w:rsid w:val="00E94F4E"/>
    <w:rsid w:val="00E95606"/>
    <w:rsid w:val="00E95D85"/>
    <w:rsid w:val="00E96D13"/>
    <w:rsid w:val="00EA0DA7"/>
    <w:rsid w:val="00EA2387"/>
    <w:rsid w:val="00EA2B2A"/>
    <w:rsid w:val="00EA39F9"/>
    <w:rsid w:val="00EA42BA"/>
    <w:rsid w:val="00EA497F"/>
    <w:rsid w:val="00EA6A37"/>
    <w:rsid w:val="00EB26FE"/>
    <w:rsid w:val="00EB340A"/>
    <w:rsid w:val="00EB4A01"/>
    <w:rsid w:val="00EB541D"/>
    <w:rsid w:val="00EB6414"/>
    <w:rsid w:val="00EC0733"/>
    <w:rsid w:val="00EC1402"/>
    <w:rsid w:val="00EC1B1F"/>
    <w:rsid w:val="00EC1DAC"/>
    <w:rsid w:val="00EC242C"/>
    <w:rsid w:val="00EC2E19"/>
    <w:rsid w:val="00EC3A5F"/>
    <w:rsid w:val="00EC49FD"/>
    <w:rsid w:val="00EC4A8F"/>
    <w:rsid w:val="00EC5171"/>
    <w:rsid w:val="00EC63F5"/>
    <w:rsid w:val="00EC6CA0"/>
    <w:rsid w:val="00ED0536"/>
    <w:rsid w:val="00ED0AD2"/>
    <w:rsid w:val="00ED0BFB"/>
    <w:rsid w:val="00ED149A"/>
    <w:rsid w:val="00ED1C1E"/>
    <w:rsid w:val="00ED2B70"/>
    <w:rsid w:val="00ED3A81"/>
    <w:rsid w:val="00ED3BBA"/>
    <w:rsid w:val="00ED4017"/>
    <w:rsid w:val="00ED75F9"/>
    <w:rsid w:val="00ED7B5C"/>
    <w:rsid w:val="00EE0B4D"/>
    <w:rsid w:val="00EE0F9C"/>
    <w:rsid w:val="00EE14E2"/>
    <w:rsid w:val="00EE36F1"/>
    <w:rsid w:val="00EE3B5B"/>
    <w:rsid w:val="00EE457B"/>
    <w:rsid w:val="00EE5C61"/>
    <w:rsid w:val="00EE7B21"/>
    <w:rsid w:val="00EF02A9"/>
    <w:rsid w:val="00EF1346"/>
    <w:rsid w:val="00EF27E0"/>
    <w:rsid w:val="00EF291D"/>
    <w:rsid w:val="00EF3B17"/>
    <w:rsid w:val="00EF4DE3"/>
    <w:rsid w:val="00EF63E5"/>
    <w:rsid w:val="00F01247"/>
    <w:rsid w:val="00F01D7F"/>
    <w:rsid w:val="00F031D5"/>
    <w:rsid w:val="00F05920"/>
    <w:rsid w:val="00F06BDE"/>
    <w:rsid w:val="00F0776E"/>
    <w:rsid w:val="00F07883"/>
    <w:rsid w:val="00F10E24"/>
    <w:rsid w:val="00F10E4C"/>
    <w:rsid w:val="00F136C1"/>
    <w:rsid w:val="00F137CD"/>
    <w:rsid w:val="00F14730"/>
    <w:rsid w:val="00F14864"/>
    <w:rsid w:val="00F14AB7"/>
    <w:rsid w:val="00F14F08"/>
    <w:rsid w:val="00F168BF"/>
    <w:rsid w:val="00F170D0"/>
    <w:rsid w:val="00F17987"/>
    <w:rsid w:val="00F17BD2"/>
    <w:rsid w:val="00F17BD9"/>
    <w:rsid w:val="00F2061D"/>
    <w:rsid w:val="00F20A41"/>
    <w:rsid w:val="00F21E43"/>
    <w:rsid w:val="00F21F5F"/>
    <w:rsid w:val="00F2366D"/>
    <w:rsid w:val="00F25205"/>
    <w:rsid w:val="00F25FD7"/>
    <w:rsid w:val="00F26027"/>
    <w:rsid w:val="00F26647"/>
    <w:rsid w:val="00F26875"/>
    <w:rsid w:val="00F31ABA"/>
    <w:rsid w:val="00F31DB8"/>
    <w:rsid w:val="00F33188"/>
    <w:rsid w:val="00F337E7"/>
    <w:rsid w:val="00F33D18"/>
    <w:rsid w:val="00F34D1B"/>
    <w:rsid w:val="00F36B4A"/>
    <w:rsid w:val="00F4205F"/>
    <w:rsid w:val="00F426CA"/>
    <w:rsid w:val="00F42FF6"/>
    <w:rsid w:val="00F4409D"/>
    <w:rsid w:val="00F45113"/>
    <w:rsid w:val="00F51114"/>
    <w:rsid w:val="00F51F41"/>
    <w:rsid w:val="00F52355"/>
    <w:rsid w:val="00F53551"/>
    <w:rsid w:val="00F53598"/>
    <w:rsid w:val="00F53CDE"/>
    <w:rsid w:val="00F54791"/>
    <w:rsid w:val="00F54BEE"/>
    <w:rsid w:val="00F54F87"/>
    <w:rsid w:val="00F5582E"/>
    <w:rsid w:val="00F568F7"/>
    <w:rsid w:val="00F56DBB"/>
    <w:rsid w:val="00F62BB2"/>
    <w:rsid w:val="00F63899"/>
    <w:rsid w:val="00F6393B"/>
    <w:rsid w:val="00F644DD"/>
    <w:rsid w:val="00F645B8"/>
    <w:rsid w:val="00F656E7"/>
    <w:rsid w:val="00F65733"/>
    <w:rsid w:val="00F66456"/>
    <w:rsid w:val="00F665D7"/>
    <w:rsid w:val="00F66C56"/>
    <w:rsid w:val="00F674F6"/>
    <w:rsid w:val="00F70B6E"/>
    <w:rsid w:val="00F71CF5"/>
    <w:rsid w:val="00F729A1"/>
    <w:rsid w:val="00F73021"/>
    <w:rsid w:val="00F738B7"/>
    <w:rsid w:val="00F75DAB"/>
    <w:rsid w:val="00F7671F"/>
    <w:rsid w:val="00F76C69"/>
    <w:rsid w:val="00F77147"/>
    <w:rsid w:val="00F77721"/>
    <w:rsid w:val="00F77E2F"/>
    <w:rsid w:val="00F8081F"/>
    <w:rsid w:val="00F82F92"/>
    <w:rsid w:val="00F838A2"/>
    <w:rsid w:val="00F839B3"/>
    <w:rsid w:val="00F84201"/>
    <w:rsid w:val="00F84235"/>
    <w:rsid w:val="00F86186"/>
    <w:rsid w:val="00F8627F"/>
    <w:rsid w:val="00F86E7A"/>
    <w:rsid w:val="00F90260"/>
    <w:rsid w:val="00F90825"/>
    <w:rsid w:val="00F90985"/>
    <w:rsid w:val="00F9391A"/>
    <w:rsid w:val="00F955B1"/>
    <w:rsid w:val="00F96C6C"/>
    <w:rsid w:val="00FA39AF"/>
    <w:rsid w:val="00FA3AA4"/>
    <w:rsid w:val="00FA3C3A"/>
    <w:rsid w:val="00FA3E83"/>
    <w:rsid w:val="00FA3F55"/>
    <w:rsid w:val="00FA4E83"/>
    <w:rsid w:val="00FA4EF4"/>
    <w:rsid w:val="00FA51EE"/>
    <w:rsid w:val="00FA5DC3"/>
    <w:rsid w:val="00FA632A"/>
    <w:rsid w:val="00FA6867"/>
    <w:rsid w:val="00FA7F3E"/>
    <w:rsid w:val="00FB0754"/>
    <w:rsid w:val="00FB17C6"/>
    <w:rsid w:val="00FB2CE1"/>
    <w:rsid w:val="00FB2EE2"/>
    <w:rsid w:val="00FB35B0"/>
    <w:rsid w:val="00FB5CB9"/>
    <w:rsid w:val="00FB704D"/>
    <w:rsid w:val="00FB7C36"/>
    <w:rsid w:val="00FC00F0"/>
    <w:rsid w:val="00FC117E"/>
    <w:rsid w:val="00FC2921"/>
    <w:rsid w:val="00FC2F28"/>
    <w:rsid w:val="00FC4A7E"/>
    <w:rsid w:val="00FC4B7E"/>
    <w:rsid w:val="00FC575C"/>
    <w:rsid w:val="00FC580A"/>
    <w:rsid w:val="00FC65A5"/>
    <w:rsid w:val="00FC6958"/>
    <w:rsid w:val="00FC741F"/>
    <w:rsid w:val="00FD0587"/>
    <w:rsid w:val="00FD0873"/>
    <w:rsid w:val="00FD1040"/>
    <w:rsid w:val="00FD1B24"/>
    <w:rsid w:val="00FD3629"/>
    <w:rsid w:val="00FD3AB5"/>
    <w:rsid w:val="00FD3B95"/>
    <w:rsid w:val="00FD414F"/>
    <w:rsid w:val="00FD49B6"/>
    <w:rsid w:val="00FD6B97"/>
    <w:rsid w:val="00FD7454"/>
    <w:rsid w:val="00FD7D16"/>
    <w:rsid w:val="00FE01BC"/>
    <w:rsid w:val="00FE186D"/>
    <w:rsid w:val="00FE1BE5"/>
    <w:rsid w:val="00FE2B37"/>
    <w:rsid w:val="00FE375F"/>
    <w:rsid w:val="00FE5A34"/>
    <w:rsid w:val="00FE5C6A"/>
    <w:rsid w:val="00FE5CC9"/>
    <w:rsid w:val="00FE7CA1"/>
    <w:rsid w:val="00FF0F27"/>
    <w:rsid w:val="00FF15CA"/>
    <w:rsid w:val="00FF404C"/>
    <w:rsid w:val="00FF497C"/>
    <w:rsid w:val="00FF6540"/>
    <w:rsid w:val="00FF7058"/>
    <w:rsid w:val="00FF75D4"/>
    <w:rsid w:val="00FF7C21"/>
    <w:rsid w:val="00FF7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BCA0E7"/>
  <w15:chartTrackingRefBased/>
  <w15:docId w15:val="{80D76E87-D1B0-45D2-A5F3-3DA70A6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711"/>
    <w:pPr>
      <w:ind w:left="720"/>
      <w:contextualSpacing/>
    </w:pPr>
  </w:style>
  <w:style w:type="paragraph" w:styleId="FootnoteText">
    <w:name w:val="footnote text"/>
    <w:basedOn w:val="Normal"/>
    <w:link w:val="FootnoteTextChar"/>
    <w:uiPriority w:val="99"/>
    <w:unhideWhenUsed/>
    <w:rsid w:val="005A3552"/>
    <w:pPr>
      <w:spacing w:after="0" w:line="240" w:lineRule="auto"/>
    </w:pPr>
    <w:rPr>
      <w:sz w:val="20"/>
      <w:szCs w:val="20"/>
    </w:rPr>
  </w:style>
  <w:style w:type="character" w:customStyle="1" w:styleId="FootnoteTextChar">
    <w:name w:val="Footnote Text Char"/>
    <w:basedOn w:val="DefaultParagraphFont"/>
    <w:link w:val="FootnoteText"/>
    <w:uiPriority w:val="99"/>
    <w:rsid w:val="005A3552"/>
    <w:rPr>
      <w:sz w:val="20"/>
      <w:szCs w:val="20"/>
    </w:rPr>
  </w:style>
  <w:style w:type="character" w:styleId="FootnoteReference">
    <w:name w:val="footnote reference"/>
    <w:basedOn w:val="DefaultParagraphFont"/>
    <w:uiPriority w:val="99"/>
    <w:unhideWhenUsed/>
    <w:rsid w:val="005A3552"/>
    <w:rPr>
      <w:vertAlign w:val="superscript"/>
    </w:rPr>
  </w:style>
  <w:style w:type="paragraph" w:customStyle="1" w:styleId="NumParra">
    <w:name w:val="Num Parra"/>
    <w:basedOn w:val="Normal"/>
    <w:link w:val="NumParraChar"/>
    <w:qFormat/>
    <w:rsid w:val="00265F6E"/>
    <w:pPr>
      <w:numPr>
        <w:numId w:val="2"/>
      </w:numPr>
      <w:spacing w:after="240" w:line="360" w:lineRule="auto"/>
    </w:pPr>
    <w:rPr>
      <w:rFonts w:ascii="Arial" w:hAnsi="Arial"/>
      <w:sz w:val="24"/>
    </w:rPr>
  </w:style>
  <w:style w:type="paragraph" w:customStyle="1" w:styleId="SubParra">
    <w:name w:val="Sub Parra"/>
    <w:basedOn w:val="NumParra"/>
    <w:qFormat/>
    <w:rsid w:val="00265F6E"/>
    <w:pPr>
      <w:numPr>
        <w:ilvl w:val="1"/>
      </w:numPr>
      <w:tabs>
        <w:tab w:val="num" w:pos="360"/>
      </w:tabs>
      <w:ind w:left="1843"/>
    </w:pPr>
  </w:style>
  <w:style w:type="character" w:customStyle="1" w:styleId="NumParraChar">
    <w:name w:val="Num Parra Char"/>
    <w:basedOn w:val="DefaultParagraphFont"/>
    <w:link w:val="NumParra"/>
    <w:rsid w:val="00265F6E"/>
    <w:rPr>
      <w:rFonts w:ascii="Arial" w:hAnsi="Arial"/>
      <w:sz w:val="24"/>
    </w:rPr>
  </w:style>
  <w:style w:type="character" w:styleId="Hyperlink">
    <w:name w:val="Hyperlink"/>
    <w:basedOn w:val="DefaultParagraphFont"/>
    <w:uiPriority w:val="99"/>
    <w:unhideWhenUsed/>
    <w:rsid w:val="00A517E6"/>
    <w:rPr>
      <w:color w:val="0000FF"/>
      <w:u w:val="single"/>
    </w:rPr>
  </w:style>
  <w:style w:type="paragraph" w:styleId="NormalWeb">
    <w:name w:val="Normal (Web)"/>
    <w:basedOn w:val="Normal"/>
    <w:uiPriority w:val="99"/>
    <w:unhideWhenUsed/>
    <w:rsid w:val="00A517E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F1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D0"/>
    <w:rPr>
      <w:rFonts w:ascii="Segoe UI" w:hAnsi="Segoe UI" w:cs="Segoe UI"/>
      <w:sz w:val="18"/>
      <w:szCs w:val="18"/>
    </w:rPr>
  </w:style>
  <w:style w:type="paragraph" w:styleId="Header">
    <w:name w:val="header"/>
    <w:basedOn w:val="Normal"/>
    <w:link w:val="HeaderChar"/>
    <w:uiPriority w:val="99"/>
    <w:unhideWhenUsed/>
    <w:rsid w:val="00C62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59"/>
  </w:style>
  <w:style w:type="paragraph" w:styleId="Footer">
    <w:name w:val="footer"/>
    <w:basedOn w:val="Normal"/>
    <w:link w:val="FooterChar"/>
    <w:uiPriority w:val="99"/>
    <w:unhideWhenUsed/>
    <w:rsid w:val="00C62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59"/>
  </w:style>
  <w:style w:type="paragraph" w:customStyle="1" w:styleId="BodyA">
    <w:name w:val="Body A"/>
    <w:rsid w:val="00520DD1"/>
    <w:pPr>
      <w:spacing w:after="0" w:line="240" w:lineRule="auto"/>
    </w:pPr>
    <w:rPr>
      <w:rFonts w:ascii="Helvetica" w:eastAsia="ヒラギノ角ゴ Pro W3" w:hAnsi="Helvetica" w:cs="Times New Roman"/>
      <w:color w:val="000000"/>
      <w:sz w:val="24"/>
      <w:szCs w:val="20"/>
      <w:lang w:val="en-US" w:eastAsia="en-AU"/>
    </w:rPr>
  </w:style>
  <w:style w:type="paragraph" w:customStyle="1" w:styleId="Body">
    <w:name w:val="Body"/>
    <w:rsid w:val="00520DD1"/>
    <w:pPr>
      <w:spacing w:after="0" w:line="240" w:lineRule="auto"/>
    </w:pPr>
    <w:rPr>
      <w:rFonts w:ascii="Arial" w:eastAsia="Arial Unicode MS" w:hAnsi="Arial" w:cs="Arial Unicode MS"/>
      <w:color w:val="000000"/>
      <w:sz w:val="24"/>
      <w:szCs w:val="24"/>
      <w:u w:color="000000"/>
      <w:lang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D35F2"/>
    <w:rPr>
      <w:color w:val="605E5C"/>
      <w:shd w:val="clear" w:color="auto" w:fill="E1DFDD"/>
    </w:rPr>
  </w:style>
  <w:style w:type="paragraph" w:styleId="NoSpacing">
    <w:name w:val="No Spacing"/>
    <w:link w:val="NoSpacingChar"/>
    <w:uiPriority w:val="1"/>
    <w:qFormat/>
    <w:rsid w:val="00511C35"/>
    <w:pPr>
      <w:spacing w:after="0" w:line="240" w:lineRule="auto"/>
    </w:pPr>
    <w:rPr>
      <w:rFonts w:ascii="Times New Roman" w:eastAsia="Times New Roman" w:hAnsi="Times New Roman" w:cs="Times New Roman"/>
      <w:sz w:val="24"/>
      <w:szCs w:val="24"/>
      <w:lang w:eastAsia="en-AU"/>
    </w:rPr>
  </w:style>
  <w:style w:type="character" w:customStyle="1" w:styleId="NoSpacingChar">
    <w:name w:val="No Spacing Char"/>
    <w:link w:val="NoSpacing"/>
    <w:uiPriority w:val="1"/>
    <w:rsid w:val="00511C35"/>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A60ED"/>
    <w:rPr>
      <w:color w:val="954F72" w:themeColor="followedHyperlink"/>
      <w:u w:val="single"/>
    </w:rPr>
  </w:style>
  <w:style w:type="character" w:styleId="CommentReference">
    <w:name w:val="annotation reference"/>
    <w:basedOn w:val="DefaultParagraphFont"/>
    <w:uiPriority w:val="99"/>
    <w:semiHidden/>
    <w:unhideWhenUsed/>
    <w:rsid w:val="00186B4C"/>
    <w:rPr>
      <w:sz w:val="16"/>
      <w:szCs w:val="16"/>
    </w:rPr>
  </w:style>
  <w:style w:type="paragraph" w:styleId="CommentText">
    <w:name w:val="annotation text"/>
    <w:basedOn w:val="Normal"/>
    <w:link w:val="CommentTextChar"/>
    <w:uiPriority w:val="99"/>
    <w:semiHidden/>
    <w:unhideWhenUsed/>
    <w:rsid w:val="00186B4C"/>
    <w:pPr>
      <w:spacing w:line="240" w:lineRule="auto"/>
    </w:pPr>
    <w:rPr>
      <w:sz w:val="20"/>
      <w:szCs w:val="20"/>
    </w:rPr>
  </w:style>
  <w:style w:type="character" w:customStyle="1" w:styleId="CommentTextChar">
    <w:name w:val="Comment Text Char"/>
    <w:basedOn w:val="DefaultParagraphFont"/>
    <w:link w:val="CommentText"/>
    <w:uiPriority w:val="99"/>
    <w:semiHidden/>
    <w:rsid w:val="00186B4C"/>
    <w:rPr>
      <w:sz w:val="20"/>
      <w:szCs w:val="20"/>
    </w:rPr>
  </w:style>
  <w:style w:type="paragraph" w:styleId="CommentSubject">
    <w:name w:val="annotation subject"/>
    <w:basedOn w:val="CommentText"/>
    <w:next w:val="CommentText"/>
    <w:link w:val="CommentSubjectChar"/>
    <w:uiPriority w:val="99"/>
    <w:semiHidden/>
    <w:unhideWhenUsed/>
    <w:rsid w:val="00186B4C"/>
    <w:rPr>
      <w:b/>
      <w:bCs/>
    </w:rPr>
  </w:style>
  <w:style w:type="character" w:customStyle="1" w:styleId="CommentSubjectChar">
    <w:name w:val="Comment Subject Char"/>
    <w:basedOn w:val="CommentTextChar"/>
    <w:link w:val="CommentSubject"/>
    <w:uiPriority w:val="99"/>
    <w:semiHidden/>
    <w:rsid w:val="00186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614297">
      <w:bodyDiv w:val="1"/>
      <w:marLeft w:val="0"/>
      <w:marRight w:val="0"/>
      <w:marTop w:val="0"/>
      <w:marBottom w:val="0"/>
      <w:divBdr>
        <w:top w:val="none" w:sz="0" w:space="0" w:color="auto"/>
        <w:left w:val="none" w:sz="0" w:space="0" w:color="auto"/>
        <w:bottom w:val="none" w:sz="0" w:space="0" w:color="auto"/>
        <w:right w:val="none" w:sz="0" w:space="0" w:color="auto"/>
      </w:divBdr>
    </w:div>
    <w:div w:id="1875389159">
      <w:bodyDiv w:val="1"/>
      <w:marLeft w:val="0"/>
      <w:marRight w:val="0"/>
      <w:marTop w:val="0"/>
      <w:marBottom w:val="0"/>
      <w:divBdr>
        <w:top w:val="none" w:sz="0" w:space="0" w:color="auto"/>
        <w:left w:val="none" w:sz="0" w:space="0" w:color="auto"/>
        <w:bottom w:val="none" w:sz="0" w:space="0" w:color="auto"/>
        <w:right w:val="none" w:sz="0" w:space="0" w:color="auto"/>
      </w:divBdr>
      <w:divsChild>
        <w:div w:id="86784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people/crime-and-justice/personal-safety-australia/latest-release" TargetMode="External"/><Relationship Id="rId13" Type="http://schemas.openxmlformats.org/officeDocument/2006/relationships/hyperlink" Target="https://www.abc.net.au/news/2021-02-22/nsw-coercive-control-inquiry-hears-harrowing-tales/13172686" TargetMode="External"/><Relationship Id="rId3" Type="http://schemas.openxmlformats.org/officeDocument/2006/relationships/hyperlink" Target="https://inbrief.nswbar.asn.au/posts/08b347d11316f1372f3414b4c466afe4/attachment/AG%20media%20release.pdf" TargetMode="External"/><Relationship Id="rId7" Type="http://schemas.openxmlformats.org/officeDocument/2006/relationships/hyperlink" Target="https://www.smh.com.au/national/it-started-on-instagram-now-chanel-s-petition-is-leading-a-sex-education-revolution-20210305-p5780k.html" TargetMode="External"/><Relationship Id="rId12" Type="http://schemas.openxmlformats.org/officeDocument/2006/relationships/hyperlink" Target="https://www.smh.com.au/lifestyle/life-and-relationships/intimate-terrorism-why-the-murders-of-hannah-aaliyah-laianah-and-trey-must-spark-change-20200910-p55ubz.html" TargetMode="External"/><Relationship Id="rId2" Type="http://schemas.openxmlformats.org/officeDocument/2006/relationships/hyperlink" Target="https://www.australianoftheyear.org.au/recipients/grace-tame/2297/" TargetMode="External"/><Relationship Id="rId1" Type="http://schemas.openxmlformats.org/officeDocument/2006/relationships/hyperlink" Target="https://www.abc.net.au/news/2019-08-12/grace-tame-speaks-about-abuse-from-schoolteacher/11393044?nw=0" TargetMode="External"/><Relationship Id="rId6" Type="http://schemas.openxmlformats.org/officeDocument/2006/relationships/hyperlink" Target="https://www.justice.nsw.gov.au/justicepolicy/Documents/cjsot_report.pdf" TargetMode="External"/><Relationship Id="rId11" Type="http://schemas.openxmlformats.org/officeDocument/2006/relationships/hyperlink" Target="https://nswbar.asn.au/the-bar-association/publications/inbrief/view/08b347d11316f1372f3414b4c4689959" TargetMode="External"/><Relationship Id="rId5" Type="http://schemas.openxmlformats.org/officeDocument/2006/relationships/hyperlink" Target="https://www.bocsar.nsw.gov.au/Pages/bocsar_pages/Domestic-Violence.aspx" TargetMode="External"/><Relationship Id="rId15" Type="http://schemas.openxmlformats.org/officeDocument/2006/relationships/hyperlink" Target="https://www.smh.com.au/politics/nsw/don-t-rush-into-coercive-control-law-it-may-not-prevent-abuse-and-could-even-make-it-worse-20210226-p57656.html" TargetMode="External"/><Relationship Id="rId10" Type="http://schemas.openxmlformats.org/officeDocument/2006/relationships/hyperlink" Target="https://www.lawyersweekly.com.au/biglaw/31513-23-barristers-oppose-nsw-bar-on-sexual-consent-reforms" TargetMode="External"/><Relationship Id="rId4" Type="http://schemas.openxmlformats.org/officeDocument/2006/relationships/hyperlink" Target="https://www.bocsar.nsw.gov.au/Pages/bocsar_pages/Sexual-assault.aspx" TargetMode="External"/><Relationship Id="rId9" Type="http://schemas.openxmlformats.org/officeDocument/2006/relationships/hyperlink" Target="https://www.theguardian.com/world/2018/jan/15/me-too-founder-tarana-burke-women-sexual-assault" TargetMode="External"/><Relationship Id="rId14" Type="http://schemas.openxmlformats.org/officeDocument/2006/relationships/hyperlink" Target="https://www.abc.net.au/news/2015-03-11/tasmanian-governor-targets-domestic-violence/63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F55C5AF84254FB937EDCD423085B3" ma:contentTypeVersion="12" ma:contentTypeDescription="Create a new document." ma:contentTypeScope="" ma:versionID="ffc3bee89a01ef7c16bd1a1c5ae8ea51">
  <xsd:schema xmlns:xsd="http://www.w3.org/2001/XMLSchema" xmlns:xs="http://www.w3.org/2001/XMLSchema" xmlns:p="http://schemas.microsoft.com/office/2006/metadata/properties" xmlns:ns2="fc57acad-cb79-42db-8037-5638429267e9" xmlns:ns3="c2d2fb1d-8397-4f06-8b22-15e2ac380baa" targetNamespace="http://schemas.microsoft.com/office/2006/metadata/properties" ma:root="true" ma:fieldsID="a4095779df949d8c9d7e35f70603950b" ns2:_="" ns3:_="">
    <xsd:import namespace="fc57acad-cb79-42db-8037-5638429267e9"/>
    <xsd:import namespace="c2d2fb1d-8397-4f06-8b22-15e2ac380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7acad-cb79-42db-8037-563842926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fb1d-8397-4f06-8b22-15e2ac380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E3871FEBC3EDC3EE0531950520A6160" version="1.0.0">
  <systemFields>
    <field name="Objective-Id">
      <value order="0">A4615362</value>
    </field>
    <field name="Objective-Title">
      <value order="0">20210406 - District Court Conference - Speech</value>
    </field>
    <field name="Objective-Description">
      <value order="0"/>
    </field>
    <field name="Objective-CreationStamp">
      <value order="0">2021-04-08T01:27:15Z</value>
    </field>
    <field name="Objective-IsApproved">
      <value order="0">false</value>
    </field>
    <field name="Objective-IsPublished">
      <value order="0">true</value>
    </field>
    <field name="Objective-DatePublished">
      <value order="0">2021-04-08T01:28:52Z</value>
    </field>
    <field name="Objective-ModificationStamp">
      <value order="0">2021-04-08T01:28:52Z</value>
    </field>
    <field name="Objective-Owner">
      <value order="0">Elizabeth Chapman</value>
    </field>
    <field name="Objective-Path">
      <value order="0">Objective Global Folder:Government House Sydney:EVENTS AND PROGRAMS - BEAZLEY:2021:202104 - April:20210406 - District Court Conference &amp; Dinner</value>
    </field>
    <field name="Objective-Parent">
      <value order="0">20210406 - District Court Conference &amp; Dinner</value>
    </field>
    <field name="Objective-State">
      <value order="0">Published</value>
    </field>
    <field name="Objective-VersionId">
      <value order="0">vA8261569</value>
    </field>
    <field name="Objective-Version">
      <value order="0">1.0</value>
    </field>
    <field name="Objective-VersionNumber">
      <value order="0">2</value>
    </field>
    <field name="Objective-VersionComment">
      <value order="0">Version 2</value>
    </field>
    <field name="Objective-FileNumber">
      <value order="0">DPC20/06258</value>
    </field>
    <field name="Objective-Classification">
      <value order="0"/>
    </field>
    <field name="Objective-Caveats">
      <value order="0"/>
    </field>
  </systemFields>
  <catalogues>
    <catalogue name="Document Type Catalogue" type="type" ori="id:cA17">
      <field name="Objective-Sensitivity Label">
        <value order="0">None</value>
      </field>
      <field name="Objective-Document Type">
        <value order="0">Speech Note / Yellow (SN)</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1322-B547-43F5-8D04-F9F6D9C10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C8ED7-E2EB-49D7-993D-EC16E4CC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7acad-cb79-42db-8037-5638429267e9"/>
    <ds:schemaRef ds:uri="c2d2fb1d-8397-4f06-8b22-15e2ac38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4.xml><?xml version="1.0" encoding="utf-8"?>
<ds:datastoreItem xmlns:ds="http://schemas.openxmlformats.org/officeDocument/2006/customXml" ds:itemID="{95778B9B-F4D1-4642-B643-977226098184}">
  <ds:schemaRefs>
    <ds:schemaRef ds:uri="http://schemas.microsoft.com/sharepoint/v3/contenttype/forms"/>
  </ds:schemaRefs>
</ds:datastoreItem>
</file>

<file path=customXml/itemProps5.xml><?xml version="1.0" encoding="utf-8"?>
<ds:datastoreItem xmlns:ds="http://schemas.openxmlformats.org/officeDocument/2006/customXml" ds:itemID="{46113B5C-E5B5-43EE-AF53-125D5F7D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5288</Words>
  <Characters>27939</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Links>
    <vt:vector size="84" baseType="variant">
      <vt:variant>
        <vt:i4>7864431</vt:i4>
      </vt:variant>
      <vt:variant>
        <vt:i4>39</vt:i4>
      </vt:variant>
      <vt:variant>
        <vt:i4>0</vt:i4>
      </vt:variant>
      <vt:variant>
        <vt:i4>5</vt:i4>
      </vt:variant>
      <vt:variant>
        <vt:lpwstr>https://www.smh.com.au/politics/nsw/don-t-rush-into-coercive-control-law-it-may-not-prevent-abuse-and-could-even-make-it-worse-20210226-p57656.html</vt:lpwstr>
      </vt:variant>
      <vt:variant>
        <vt:lpwstr/>
      </vt:variant>
      <vt:variant>
        <vt:i4>2424876</vt:i4>
      </vt:variant>
      <vt:variant>
        <vt:i4>36</vt:i4>
      </vt:variant>
      <vt:variant>
        <vt:i4>0</vt:i4>
      </vt:variant>
      <vt:variant>
        <vt:i4>5</vt:i4>
      </vt:variant>
      <vt:variant>
        <vt:lpwstr>https://www.abc.net.au/news/2015-03-11/tasmanian-governor-targets-domestic-violence/6300116</vt:lpwstr>
      </vt:variant>
      <vt:variant>
        <vt:lpwstr/>
      </vt:variant>
      <vt:variant>
        <vt:i4>2752566</vt:i4>
      </vt:variant>
      <vt:variant>
        <vt:i4>33</vt:i4>
      </vt:variant>
      <vt:variant>
        <vt:i4>0</vt:i4>
      </vt:variant>
      <vt:variant>
        <vt:i4>5</vt:i4>
      </vt:variant>
      <vt:variant>
        <vt:lpwstr>https://www.abc.net.au/news/2021-02-22/nsw-coercive-control-inquiry-hears-harrowing-tales/13172686</vt:lpwstr>
      </vt:variant>
      <vt:variant>
        <vt:lpwstr/>
      </vt:variant>
      <vt:variant>
        <vt:i4>5832729</vt:i4>
      </vt:variant>
      <vt:variant>
        <vt:i4>30</vt:i4>
      </vt:variant>
      <vt:variant>
        <vt:i4>0</vt:i4>
      </vt:variant>
      <vt:variant>
        <vt:i4>5</vt:i4>
      </vt:variant>
      <vt:variant>
        <vt:lpwstr>https://www.smh.com.au/lifestyle/life-and-relationships/intimate-terrorism-why-the-murders-of-hannah-aaliyah-laianah-and-trey-must-spark-change-20200910-p55ubz.html</vt:lpwstr>
      </vt:variant>
      <vt:variant>
        <vt:lpwstr/>
      </vt:variant>
      <vt:variant>
        <vt:i4>327702</vt:i4>
      </vt:variant>
      <vt:variant>
        <vt:i4>27</vt:i4>
      </vt:variant>
      <vt:variant>
        <vt:i4>0</vt:i4>
      </vt:variant>
      <vt:variant>
        <vt:i4>5</vt:i4>
      </vt:variant>
      <vt:variant>
        <vt:lpwstr>https://www.lawyersweekly.com.au/biglaw/31513-23-barristers-oppose-nsw-bar-on-sexual-consent-reforms</vt:lpwstr>
      </vt:variant>
      <vt:variant>
        <vt:lpwstr/>
      </vt:variant>
      <vt:variant>
        <vt:i4>3539067</vt:i4>
      </vt:variant>
      <vt:variant>
        <vt:i4>24</vt:i4>
      </vt:variant>
      <vt:variant>
        <vt:i4>0</vt:i4>
      </vt:variant>
      <vt:variant>
        <vt:i4>5</vt:i4>
      </vt:variant>
      <vt:variant>
        <vt:lpwstr>https://www.theguardian.com/world/2018/jan/15/me-too-founder-tarana-burke-women-sexual-assault</vt:lpwstr>
      </vt:variant>
      <vt:variant>
        <vt:lpwstr/>
      </vt:variant>
      <vt:variant>
        <vt:i4>7864437</vt:i4>
      </vt:variant>
      <vt:variant>
        <vt:i4>21</vt:i4>
      </vt:variant>
      <vt:variant>
        <vt:i4>0</vt:i4>
      </vt:variant>
      <vt:variant>
        <vt:i4>5</vt:i4>
      </vt:variant>
      <vt:variant>
        <vt:lpwstr>https://www.abs.gov.au/statistics/people/crime-and-justice/personal-safety-australia/latest-release</vt:lpwstr>
      </vt:variant>
      <vt:variant>
        <vt:lpwstr/>
      </vt:variant>
      <vt:variant>
        <vt:i4>1835008</vt:i4>
      </vt:variant>
      <vt:variant>
        <vt:i4>18</vt:i4>
      </vt:variant>
      <vt:variant>
        <vt:i4>0</vt:i4>
      </vt:variant>
      <vt:variant>
        <vt:i4>5</vt:i4>
      </vt:variant>
      <vt:variant>
        <vt:lpwstr>https://www.smh.com.au/national/it-started-on-instagram-now-chanel-s-petition-is-leading-a-sex-education-revolution-20210305-p5780k.html</vt:lpwstr>
      </vt:variant>
      <vt:variant>
        <vt:lpwstr/>
      </vt:variant>
      <vt:variant>
        <vt:i4>3014737</vt:i4>
      </vt:variant>
      <vt:variant>
        <vt:i4>15</vt:i4>
      </vt:variant>
      <vt:variant>
        <vt:i4>0</vt:i4>
      </vt:variant>
      <vt:variant>
        <vt:i4>5</vt:i4>
      </vt:variant>
      <vt:variant>
        <vt:lpwstr>https://www.justice.nsw.gov.au/justicepolicy/Documents/cjsot_report.pdf</vt:lpwstr>
      </vt:variant>
      <vt:variant>
        <vt:lpwstr/>
      </vt:variant>
      <vt:variant>
        <vt:i4>6291528</vt:i4>
      </vt:variant>
      <vt:variant>
        <vt:i4>12</vt:i4>
      </vt:variant>
      <vt:variant>
        <vt:i4>0</vt:i4>
      </vt:variant>
      <vt:variant>
        <vt:i4>5</vt:i4>
      </vt:variant>
      <vt:variant>
        <vt:lpwstr>https://www.bocsar.nsw.gov.au/Pages/bocsar_pages/Domestic-Violence.aspx</vt:lpwstr>
      </vt:variant>
      <vt:variant>
        <vt:lpwstr/>
      </vt:variant>
      <vt:variant>
        <vt:i4>6094953</vt:i4>
      </vt:variant>
      <vt:variant>
        <vt:i4>9</vt:i4>
      </vt:variant>
      <vt:variant>
        <vt:i4>0</vt:i4>
      </vt:variant>
      <vt:variant>
        <vt:i4>5</vt:i4>
      </vt:variant>
      <vt:variant>
        <vt:lpwstr>https://www.bocsar.nsw.gov.au/Pages/bocsar_pages/Sexual-assault.aspx</vt:lpwstr>
      </vt:variant>
      <vt:variant>
        <vt:lpwstr/>
      </vt:variant>
      <vt:variant>
        <vt:i4>327689</vt:i4>
      </vt:variant>
      <vt:variant>
        <vt:i4>6</vt:i4>
      </vt:variant>
      <vt:variant>
        <vt:i4>0</vt:i4>
      </vt:variant>
      <vt:variant>
        <vt:i4>5</vt:i4>
      </vt:variant>
      <vt:variant>
        <vt:lpwstr>https://inbrief.nswbar.asn.au/posts/08b347d11316f1372f3414b4c466afe4/attachment/AG media release.pdf</vt:lpwstr>
      </vt:variant>
      <vt:variant>
        <vt:lpwstr/>
      </vt:variant>
      <vt:variant>
        <vt:i4>6881314</vt:i4>
      </vt:variant>
      <vt:variant>
        <vt:i4>3</vt:i4>
      </vt:variant>
      <vt:variant>
        <vt:i4>0</vt:i4>
      </vt:variant>
      <vt:variant>
        <vt:i4>5</vt:i4>
      </vt:variant>
      <vt:variant>
        <vt:lpwstr>https://www.australianoftheyear.org.au/recipients/grace-tame/2297/</vt:lpwstr>
      </vt:variant>
      <vt:variant>
        <vt:lpwstr>:~:text=TASNational%20RecipientAustralian%20of,and%20jailed%20for%20his%20crimes</vt:lpwstr>
      </vt:variant>
      <vt:variant>
        <vt:i4>4390991</vt:i4>
      </vt:variant>
      <vt:variant>
        <vt:i4>0</vt:i4>
      </vt:variant>
      <vt:variant>
        <vt:i4>0</vt:i4>
      </vt:variant>
      <vt:variant>
        <vt:i4>5</vt:i4>
      </vt:variant>
      <vt:variant>
        <vt:lpwstr>https://www.abc.net.au/news/2019-08-12/grace-tame-speaks-about-abuse-from-schoolteacher/11393044?nw=0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Beazley</dc:creator>
  <cp:keywords/>
  <dc:description/>
  <cp:lastModifiedBy>Dharani Rana</cp:lastModifiedBy>
  <cp:revision>61</cp:revision>
  <cp:lastPrinted>2021-07-19T03:20:00Z</cp:lastPrinted>
  <dcterms:created xsi:type="dcterms:W3CDTF">2021-07-19T07:05:00Z</dcterms:created>
  <dcterms:modified xsi:type="dcterms:W3CDTF">2021-07-19T08:13:00Z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0x010100F98F55C5AF84254FB937EDCD423085B3</vt:lpwstr>
  </property>
  <property fmtid="{D5CDD505-2E9C-101B-9397-08002B2CF9AE}" pid="3" name="Objective-Id">
    <vt:lpwstr>A4615362</vt:lpwstr>
  </property>
  <property fmtid="{D5CDD505-2E9C-101B-9397-08002B2CF9AE}" pid="4" name="Objective-Title">
    <vt:lpwstr>20210406 - District Court Conference - Speech</vt:lpwstr>
  </property>
  <property fmtid="{D5CDD505-2E9C-101B-9397-08002B2CF9AE}" pid="5" name="Objective-Description">
    <vt:lpwstr/>
  </property>
  <property fmtid="{D5CDD505-2E9C-101B-9397-08002B2CF9AE}" pid="6" name="Objective-CreationStamp">
    <vt:filetime>2021-04-08T01:27:15Z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2021-04-08T01:28:52Z</vt:filetime>
  </property>
  <property fmtid="{D5CDD505-2E9C-101B-9397-08002B2CF9AE}" pid="10" name="Objective-ModificationStamp">
    <vt:filetime>2021-04-08T01:28:52Z</vt:filetime>
  </property>
  <property fmtid="{D5CDD505-2E9C-101B-9397-08002B2CF9AE}" pid="11" name="Objective-Owner">
    <vt:lpwstr>Elizabeth Chapman</vt:lpwstr>
  </property>
  <property fmtid="{D5CDD505-2E9C-101B-9397-08002B2CF9AE}" pid="12" name="Objective-Path">
    <vt:lpwstr>Objective Global Folder:Government House Sydney:EVENTS AND PROGRAMS - BEAZLEY:2021:202104 - April:20210406 - District Court Conference &amp; Dinner</vt:lpwstr>
  </property>
  <property fmtid="{D5CDD505-2E9C-101B-9397-08002B2CF9AE}" pid="13" name="Objective-Parent">
    <vt:lpwstr>20210406 - District Court Conference &amp; Dinner</vt:lpwstr>
  </property>
  <property fmtid="{D5CDD505-2E9C-101B-9397-08002B2CF9AE}" pid="14" name="Objective-State">
    <vt:lpwstr>Published</vt:lpwstr>
  </property>
  <property fmtid="{D5CDD505-2E9C-101B-9397-08002B2CF9AE}" pid="15" name="Objective-VersionId">
    <vt:lpwstr>vA8261569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DPC20/06258</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None</vt:lpwstr>
  </property>
  <property fmtid="{D5CDD505-2E9C-101B-9397-08002B2CF9AE}" pid="23" name="Objective-Document Type">
    <vt:lpwstr>Speech Note / Yellow (SN)</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ies>
</file>